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2119B" w:rsidRDefault="0042119B"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p>
    <w:p w:rsidR="008E201C" w:rsidRPr="00E576B6" w:rsidRDefault="008E201C" w:rsidP="008E201C">
      <w:pPr>
        <w:pStyle w:val="NormalWeb"/>
        <w:shd w:val="clear" w:color="auto" w:fill="FDE9D9" w:themeFill="accent6" w:themeFillTint="33"/>
        <w:spacing w:before="0" w:beforeAutospacing="0" w:after="0" w:afterAutospacing="0"/>
        <w:jc w:val="center"/>
        <w:rPr>
          <w:rFonts w:ascii="Arial" w:hAnsi="Arial" w:cs="Arial"/>
          <w:b/>
          <w:bCs/>
          <w:color w:val="17365D" w:themeColor="text2" w:themeShade="BF"/>
          <w:sz w:val="28"/>
          <w:szCs w:val="28"/>
          <w:u w:val="single"/>
          <w:lang w:eastAsia="en-US"/>
        </w:rPr>
      </w:pPr>
      <w:r w:rsidRPr="00E576B6">
        <w:rPr>
          <w:rFonts w:ascii="Arial" w:hAnsi="Arial" w:cs="Arial"/>
          <w:b/>
          <w:bCs/>
          <w:color w:val="17365D" w:themeColor="text2" w:themeShade="BF"/>
          <w:sz w:val="28"/>
          <w:szCs w:val="28"/>
          <w:u w:val="single"/>
          <w:lang w:eastAsia="en-US"/>
        </w:rPr>
        <w:t>IMPOSITIVAS</w:t>
      </w:r>
    </w:p>
    <w:p w:rsidR="008E201C" w:rsidRPr="00E576B6" w:rsidRDefault="008E201C" w:rsidP="008E201C">
      <w:pPr>
        <w:pStyle w:val="NormalWeb"/>
        <w:shd w:val="clear" w:color="auto" w:fill="FDE9D9" w:themeFill="accent6" w:themeFillTint="33"/>
        <w:spacing w:before="0" w:beforeAutospacing="0" w:after="0" w:afterAutospacing="0"/>
        <w:jc w:val="both"/>
        <w:rPr>
          <w:rFonts w:ascii="Arial" w:hAnsi="Arial" w:cs="Arial"/>
          <w:b/>
          <w:bCs/>
          <w:color w:val="17365D" w:themeColor="text2" w:themeShade="BF"/>
          <w:sz w:val="20"/>
          <w:szCs w:val="20"/>
          <w:lang w:eastAsia="en-US"/>
        </w:rPr>
      </w:pPr>
    </w:p>
    <w:p w:rsidR="008E201C" w:rsidRDefault="008E201C" w:rsidP="008E201C">
      <w:pPr>
        <w:rPr>
          <w:rFonts w:ascii="Arial" w:eastAsiaTheme="majorEastAsia" w:hAnsi="Arial" w:cs="Arial"/>
          <w:b/>
          <w:bCs/>
          <w:caps/>
          <w:color w:val="002F5D"/>
          <w:sz w:val="22"/>
          <w:szCs w:val="22"/>
        </w:rPr>
      </w:pPr>
    </w:p>
    <w:p w:rsidR="008E201C" w:rsidRPr="00846A61" w:rsidRDefault="008E201C" w:rsidP="008E201C">
      <w:pPr>
        <w:pStyle w:val="NormalWeb"/>
        <w:spacing w:before="0" w:beforeAutospacing="0" w:after="0" w:afterAutospacing="0"/>
        <w:jc w:val="both"/>
        <w:rPr>
          <w:rFonts w:ascii="Arial" w:eastAsiaTheme="majorEastAsia" w:hAnsi="Arial" w:cs="Arial"/>
          <w:b/>
          <w:bCs/>
          <w:caps/>
          <w:color w:val="002F5D"/>
        </w:rPr>
      </w:pPr>
      <w:bookmarkStart w:id="0" w:name="OLE_LINK25"/>
      <w:bookmarkStart w:id="1" w:name="OLE_LINK26"/>
      <w:r w:rsidRPr="00846A61">
        <w:rPr>
          <w:rFonts w:ascii="Arial" w:eastAsiaTheme="majorEastAsia" w:hAnsi="Arial" w:cs="Arial"/>
          <w:b/>
          <w:bCs/>
          <w:caps/>
          <w:color w:val="002F5D"/>
        </w:rPr>
        <w:t>NACIONaLES</w:t>
      </w:r>
      <w:bookmarkEnd w:id="0"/>
      <w:bookmarkEnd w:id="1"/>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4407D1" w:rsidRDefault="00846A61" w:rsidP="008E201C">
      <w:pPr>
        <w:pStyle w:val="NormalWeb"/>
        <w:spacing w:before="0" w:beforeAutospacing="0" w:after="0" w:afterAutospacing="0"/>
        <w:jc w:val="both"/>
        <w:rPr>
          <w:rFonts w:ascii="Arial" w:eastAsiaTheme="majorEastAsia" w:hAnsi="Arial" w:cs="Arial"/>
          <w:b/>
          <w:bCs/>
          <w:caps/>
          <w:color w:val="002F5D"/>
          <w:sz w:val="22"/>
          <w:szCs w:val="22"/>
        </w:rPr>
      </w:pPr>
      <w:r>
        <w:rPr>
          <w:rFonts w:ascii="Arial" w:eastAsiaTheme="majorEastAsia" w:hAnsi="Arial" w:cs="Arial"/>
          <w:b/>
          <w:bCs/>
          <w:caps/>
          <w:color w:val="002F5D"/>
          <w:sz w:val="22"/>
          <w:szCs w:val="22"/>
        </w:rPr>
        <w:t>LEGISLACION</w:t>
      </w:r>
    </w:p>
    <w:p w:rsidR="004407D1" w:rsidRDefault="004407D1" w:rsidP="008E201C">
      <w:pPr>
        <w:pStyle w:val="NormalWeb"/>
        <w:spacing w:before="0" w:beforeAutospacing="0" w:after="0" w:afterAutospacing="0"/>
        <w:jc w:val="both"/>
        <w:rPr>
          <w:rFonts w:ascii="Arial" w:eastAsiaTheme="majorEastAsia" w:hAnsi="Arial" w:cs="Arial"/>
          <w:b/>
          <w:bCs/>
          <w:caps/>
          <w:color w:val="002F5D"/>
          <w:sz w:val="22"/>
          <w:szCs w:val="22"/>
        </w:rPr>
      </w:pPr>
    </w:p>
    <w:p w:rsidR="002241AE" w:rsidRPr="00A70AD1" w:rsidRDefault="00EB166D" w:rsidP="00A70AD1">
      <w:pPr>
        <w:pStyle w:val="NormalWeb"/>
        <w:spacing w:before="0" w:beforeAutospacing="0" w:after="0" w:afterAutospacing="0"/>
        <w:jc w:val="both"/>
        <w:rPr>
          <w:rFonts w:ascii="Arial" w:hAnsi="Arial" w:cs="Arial"/>
          <w:b/>
          <w:bCs/>
          <w:caps/>
          <w:color w:val="002F5D"/>
          <w:sz w:val="20"/>
          <w:szCs w:val="20"/>
        </w:rPr>
      </w:pPr>
      <w:r w:rsidRPr="00EB166D">
        <w:rPr>
          <w:rFonts w:ascii="Arial" w:hAnsi="Arial" w:cs="Arial"/>
          <w:b/>
          <w:bCs/>
          <w:caps/>
          <w:color w:val="002F5D"/>
          <w:sz w:val="20"/>
          <w:szCs w:val="20"/>
        </w:rPr>
        <w:t>Impuesto a las Ganancias. Impuesto cedular a la renta financiera. Procedimiento simplificado para declarar e ingresar el impuesto con un volante de pago si se obtuvieron rendimientos iguales o inferiores a $ 200.000</w:t>
      </w:r>
      <w:r>
        <w:rPr>
          <w:rFonts w:ascii="Arial" w:hAnsi="Arial" w:cs="Arial"/>
          <w:b/>
          <w:bCs/>
          <w:caps/>
          <w:color w:val="002F5D"/>
          <w:sz w:val="20"/>
          <w:szCs w:val="20"/>
        </w:rPr>
        <w:t xml:space="preserve"> - </w:t>
      </w:r>
      <w:r w:rsidRPr="00EB166D">
        <w:rPr>
          <w:rFonts w:ascii="Arial" w:hAnsi="Arial" w:cs="Arial"/>
          <w:b/>
          <w:bCs/>
          <w:caps/>
          <w:color w:val="002F5D"/>
          <w:sz w:val="20"/>
          <w:szCs w:val="20"/>
        </w:rPr>
        <w:t>RESOLUCIÓN GENERAL (</w:t>
      </w:r>
      <w:proofErr w:type="spellStart"/>
      <w:r w:rsidRPr="00EB166D">
        <w:rPr>
          <w:rFonts w:ascii="Arial" w:hAnsi="Arial" w:cs="Arial"/>
          <w:b/>
          <w:bCs/>
          <w:caps/>
          <w:color w:val="002F5D"/>
          <w:sz w:val="20"/>
          <w:szCs w:val="20"/>
        </w:rPr>
        <w:t>Adm</w:t>
      </w:r>
      <w:proofErr w:type="spellEnd"/>
      <w:r w:rsidRPr="00EB166D">
        <w:rPr>
          <w:rFonts w:ascii="Arial" w:hAnsi="Arial" w:cs="Arial"/>
          <w:b/>
          <w:bCs/>
          <w:caps/>
          <w:color w:val="002F5D"/>
          <w:sz w:val="20"/>
          <w:szCs w:val="20"/>
        </w:rPr>
        <w:t>. Fed. Ingresos Públicos) 4488</w:t>
      </w:r>
    </w:p>
    <w:p w:rsidR="00DF3C86" w:rsidRDefault="00DF3C86" w:rsidP="00DF3C86">
      <w:pPr>
        <w:pStyle w:val="NormalWeb"/>
        <w:spacing w:before="0" w:beforeAutospacing="0" w:after="0" w:afterAutospacing="0"/>
        <w:jc w:val="both"/>
        <w:rPr>
          <w:rFonts w:ascii="Arial" w:hAnsi="Arial" w:cs="Arial"/>
          <w:b/>
          <w:bCs/>
          <w:caps/>
          <w:color w:val="376889"/>
          <w:sz w:val="21"/>
          <w:szCs w:val="21"/>
        </w:rPr>
      </w:pPr>
    </w:p>
    <w:p w:rsidR="00EB166D" w:rsidRDefault="00EB166D"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Las personas humanas y sucesiones indivisas que hayan obtenido rendimientos o resultados brutos por hasta $ 200.000 en el período fiscal que se declara podrán optar por ingresar el impuesto cedular mediante un volante de pago, en reemplazo de la presentación de la declaración jurada -prevista por la RG (AFIP) 4468-.</w:t>
      </w:r>
    </w:p>
    <w:p w:rsidR="00846A61" w:rsidRDefault="00EB166D" w:rsidP="00846A61">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El ingreso del impuesto mediante el citado procedimiento no implica el alta de oficio en el impuesto cedular y no habilita la posibilidad de adherirse al régimen de facilidades de pago -previsto por la RG (AFIP) 4057</w:t>
      </w:r>
      <w:r w:rsidR="00DF3C86">
        <w:rPr>
          <w:rFonts w:ascii="Arial" w:eastAsia="Times New Roman" w:hAnsi="Arial" w:cs="Arial"/>
          <w:color w:val="666666"/>
          <w:sz w:val="20"/>
          <w:szCs w:val="20"/>
        </w:rPr>
        <w:t>.</w:t>
      </w:r>
    </w:p>
    <w:p w:rsidR="00DF3C86" w:rsidRDefault="00DF3C86" w:rsidP="00846A61">
      <w:pPr>
        <w:pStyle w:val="NormalWeb"/>
        <w:spacing w:before="0" w:beforeAutospacing="0" w:after="0" w:afterAutospacing="0" w:line="360" w:lineRule="auto"/>
        <w:jc w:val="both"/>
        <w:rPr>
          <w:rFonts w:ascii="Arial" w:eastAsia="Times New Roman" w:hAnsi="Arial" w:cs="Arial"/>
          <w:color w:val="666666"/>
          <w:sz w:val="20"/>
          <w:szCs w:val="20"/>
        </w:rPr>
      </w:pPr>
    </w:p>
    <w:p w:rsidR="00EB166D" w:rsidRPr="00EB166D" w:rsidRDefault="00EB166D" w:rsidP="00EB166D">
      <w:pPr>
        <w:pStyle w:val="NormalWeb"/>
        <w:spacing w:before="0" w:beforeAutospacing="0" w:after="0" w:afterAutospacing="0"/>
        <w:jc w:val="both"/>
        <w:rPr>
          <w:rFonts w:ascii="Arial" w:hAnsi="Arial" w:cs="Arial"/>
          <w:b/>
          <w:bCs/>
          <w:caps/>
          <w:color w:val="002F5D"/>
          <w:sz w:val="20"/>
          <w:szCs w:val="20"/>
        </w:rPr>
      </w:pPr>
      <w:r w:rsidRPr="00EB166D">
        <w:rPr>
          <w:rFonts w:ascii="Arial" w:hAnsi="Arial" w:cs="Arial"/>
          <w:b/>
          <w:bCs/>
          <w:caps/>
          <w:color w:val="002F5D"/>
          <w:sz w:val="20"/>
          <w:szCs w:val="20"/>
        </w:rPr>
        <w:t xml:space="preserve">Regímenes Especiales. Deuda pública. Letras del Tesoro en dólares estadounidenses con vencimiento 20 de diciembre de 2019 </w:t>
      </w:r>
      <w:r>
        <w:rPr>
          <w:rFonts w:ascii="Arial" w:hAnsi="Arial" w:cs="Arial"/>
          <w:b/>
          <w:bCs/>
          <w:caps/>
          <w:color w:val="002F5D"/>
          <w:sz w:val="20"/>
          <w:szCs w:val="20"/>
        </w:rPr>
        <w:t xml:space="preserve">- </w:t>
      </w:r>
      <w:r w:rsidRPr="00EB166D">
        <w:rPr>
          <w:rFonts w:ascii="Arial" w:hAnsi="Arial" w:cs="Arial"/>
          <w:b/>
          <w:bCs/>
          <w:caps/>
          <w:color w:val="002F5D"/>
          <w:sz w:val="20"/>
          <w:szCs w:val="20"/>
        </w:rPr>
        <w:t>RESOLUCIÓN CONJUNTA (Sec. Hacienda - Sec. Finanzas) 39/2019</w:t>
      </w:r>
    </w:p>
    <w:p w:rsidR="004F0EE9" w:rsidRPr="00A70AD1" w:rsidRDefault="004F0EE9" w:rsidP="004F0EE9">
      <w:pPr>
        <w:pStyle w:val="NormalWeb"/>
        <w:spacing w:before="0" w:beforeAutospacing="0" w:after="0" w:afterAutospacing="0"/>
        <w:jc w:val="both"/>
        <w:rPr>
          <w:rFonts w:ascii="Arial" w:hAnsi="Arial" w:cs="Arial"/>
          <w:b/>
          <w:bCs/>
          <w:caps/>
          <w:color w:val="002F5D"/>
          <w:sz w:val="21"/>
          <w:szCs w:val="21"/>
        </w:rPr>
      </w:pPr>
    </w:p>
    <w:p w:rsidR="00EB166D" w:rsidRDefault="00EB166D"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Las “Letras del Tesoro en dólares estadounidenses con vencimiento 20/12/2019”, emitidas conforme a la presente disposición, gozan de todas las exenciones impositivas dispuestas por las leyes y reglamentaciones en la materia. </w:t>
      </w:r>
    </w:p>
    <w:p w:rsidR="000A498D" w:rsidRDefault="00EB166D" w:rsidP="001B393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Recordamos que la ley de reforma tributaria -L. 27430-, al incorporar el artículo 90.1 (impuesto cedular) en la ley del impuesto a las ganancias, grava con dicho impuesto la generación de renta financiera para las personas humanas</w:t>
      </w:r>
      <w:r w:rsidR="00A70AD1">
        <w:rPr>
          <w:rFonts w:ascii="Arial" w:eastAsia="Times New Roman" w:hAnsi="Arial" w:cs="Arial"/>
          <w:color w:val="666666"/>
          <w:sz w:val="20"/>
          <w:szCs w:val="20"/>
        </w:rPr>
        <w:t>.</w:t>
      </w:r>
    </w:p>
    <w:p w:rsidR="00EB166D" w:rsidRDefault="00EB166D" w:rsidP="00A70AD1">
      <w:pPr>
        <w:pStyle w:val="NormalWeb"/>
        <w:spacing w:before="0" w:beforeAutospacing="0" w:after="0" w:afterAutospacing="0"/>
        <w:jc w:val="both"/>
        <w:rPr>
          <w:rFonts w:ascii="Arial" w:eastAsiaTheme="majorEastAsia" w:hAnsi="Arial" w:cs="Arial"/>
          <w:b/>
          <w:bCs/>
          <w:caps/>
          <w:color w:val="002F5D"/>
        </w:rPr>
      </w:pPr>
    </w:p>
    <w:p w:rsidR="00EB166D" w:rsidRPr="00EB166D" w:rsidRDefault="00EB166D" w:rsidP="00EB166D">
      <w:pPr>
        <w:pStyle w:val="NormalWeb"/>
        <w:spacing w:before="0" w:beforeAutospacing="0" w:after="0" w:afterAutospacing="0"/>
        <w:jc w:val="both"/>
        <w:rPr>
          <w:rFonts w:ascii="Arial" w:hAnsi="Arial" w:cs="Arial"/>
          <w:b/>
          <w:bCs/>
          <w:caps/>
          <w:color w:val="002F5D"/>
          <w:sz w:val="20"/>
          <w:szCs w:val="20"/>
        </w:rPr>
      </w:pPr>
      <w:r w:rsidRPr="00EB166D">
        <w:rPr>
          <w:rFonts w:ascii="Arial" w:hAnsi="Arial" w:cs="Arial"/>
          <w:b/>
          <w:bCs/>
          <w:caps/>
          <w:color w:val="002F5D"/>
          <w:sz w:val="20"/>
          <w:szCs w:val="20"/>
        </w:rPr>
        <w:t xml:space="preserve">Impuesto a las Ganancias. Rentas del trabajo en relación de dependencia, actores y otros. Se incrementa a $ 1.500.000 el importe de rentas brutas para presentar declaraciones juradas patrimoniales. Precisiones sobre la obligatoriedad de presentar el F. 572 web </w:t>
      </w:r>
      <w:r>
        <w:rPr>
          <w:rFonts w:ascii="Arial" w:hAnsi="Arial" w:cs="Arial"/>
          <w:b/>
          <w:bCs/>
          <w:caps/>
          <w:color w:val="002F5D"/>
          <w:sz w:val="20"/>
          <w:szCs w:val="20"/>
        </w:rPr>
        <w:t xml:space="preserve">- </w:t>
      </w:r>
    </w:p>
    <w:p w:rsidR="00EB166D" w:rsidRDefault="00EB166D" w:rsidP="00A70AD1">
      <w:pPr>
        <w:pStyle w:val="NormalWeb"/>
        <w:spacing w:before="0" w:beforeAutospacing="0" w:after="0" w:afterAutospacing="0"/>
        <w:jc w:val="both"/>
        <w:rPr>
          <w:rFonts w:ascii="Arial" w:eastAsiaTheme="majorEastAsia" w:hAnsi="Arial" w:cs="Arial"/>
          <w:b/>
          <w:bCs/>
          <w:caps/>
          <w:color w:val="002F5D"/>
        </w:rPr>
      </w:pP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incrementa, desde el período fiscal 2018, a $ 1.500.000 el importe de las rentas brutas percibidas anualmente a partir del cual resulta obligatorio que los beneficiarios de las rentas presenten la declaración jurada patrimonial ante la AFIP.</w:t>
      </w: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Por otra parte, se establece que el F. 572 web debe ser presentado anualmente en todos los casos, aun cuando no existan nuevas cargas de familia o deducciones a informar.</w:t>
      </w: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lastRenderedPageBreak/>
        <w:t xml:space="preserve">Por último, se establece que la declaración jurada informativa del impuesto a las ganancias se podrá presentar mediante el régimen simplificado también por parte de aquellos sujetos que hayan obtenido en el año fiscal rentas </w:t>
      </w:r>
      <w:proofErr w:type="spellStart"/>
      <w:r>
        <w:rPr>
          <w:rFonts w:ascii="Arial" w:eastAsia="Times New Roman" w:hAnsi="Arial" w:cs="Arial"/>
          <w:color w:val="666666"/>
          <w:sz w:val="20"/>
          <w:szCs w:val="20"/>
        </w:rPr>
        <w:t>gravadas</w:t>
      </w:r>
      <w:proofErr w:type="spellEnd"/>
      <w:r>
        <w:rPr>
          <w:rFonts w:ascii="Arial" w:eastAsia="Times New Roman" w:hAnsi="Arial" w:cs="Arial"/>
          <w:color w:val="666666"/>
          <w:sz w:val="20"/>
          <w:szCs w:val="20"/>
        </w:rPr>
        <w:t xml:space="preserve"> por el impuesto cedular provenientes de:</w:t>
      </w: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 intereses y rendimientos producto de la colocación del capital en valores y depósitos a plazo -art. 90.1 de la ley del gravamen-; </w:t>
      </w: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títulos públicos, obligaciones negociables, fondos comunes de inversión, enajenación de acciones, valores, participaciones en fideicomisos y fondos comunes de inversión -art. 90.4 de la ley del gravamen-; y</w:t>
      </w:r>
    </w:p>
    <w:p w:rsidR="00EB166D" w:rsidRDefault="00EB166D" w:rsidP="00EB166D">
      <w:pPr>
        <w:pStyle w:val="NormalWeb"/>
        <w:spacing w:before="0" w:beforeAutospacing="0" w:after="0" w:afterAutospacing="0" w:line="360" w:lineRule="auto"/>
        <w:jc w:val="both"/>
        <w:rPr>
          <w:rFonts w:ascii="Arial" w:eastAsiaTheme="majorEastAsia" w:hAnsi="Arial" w:cs="Arial"/>
          <w:b/>
          <w:bCs/>
          <w:caps/>
          <w:color w:val="002F5D"/>
        </w:rPr>
      </w:pPr>
      <w:r>
        <w:rPr>
          <w:rFonts w:ascii="Arial" w:eastAsia="Times New Roman" w:hAnsi="Arial" w:cs="Arial"/>
          <w:color w:val="666666"/>
          <w:sz w:val="20"/>
          <w:szCs w:val="20"/>
        </w:rPr>
        <w:t>- por la venta de inmuebles o derechos sobre los mismos -art. 90.4 de la ley del gravamen</w:t>
      </w:r>
    </w:p>
    <w:p w:rsidR="00EB166D" w:rsidRDefault="00EB166D" w:rsidP="00A70AD1">
      <w:pPr>
        <w:pStyle w:val="NormalWeb"/>
        <w:spacing w:before="0" w:beforeAutospacing="0" w:after="0" w:afterAutospacing="0"/>
        <w:jc w:val="both"/>
        <w:rPr>
          <w:rFonts w:ascii="Arial" w:eastAsiaTheme="majorEastAsia" w:hAnsi="Arial" w:cs="Arial"/>
          <w:b/>
          <w:bCs/>
          <w:caps/>
          <w:color w:val="002F5D"/>
        </w:rPr>
      </w:pPr>
    </w:p>
    <w:p w:rsidR="00EB166D" w:rsidRPr="00EB166D" w:rsidRDefault="00EB166D" w:rsidP="00EB166D">
      <w:pPr>
        <w:pStyle w:val="NormalWeb"/>
        <w:spacing w:before="0" w:beforeAutospacing="0" w:after="0" w:afterAutospacing="0"/>
        <w:jc w:val="both"/>
        <w:rPr>
          <w:rFonts w:ascii="Arial" w:hAnsi="Arial" w:cs="Arial"/>
          <w:b/>
          <w:bCs/>
          <w:caps/>
          <w:color w:val="002F5D"/>
          <w:sz w:val="20"/>
          <w:szCs w:val="20"/>
        </w:rPr>
      </w:pPr>
      <w:r w:rsidRPr="00EB166D">
        <w:rPr>
          <w:rFonts w:ascii="Arial" w:hAnsi="Arial" w:cs="Arial"/>
          <w:b/>
          <w:bCs/>
          <w:caps/>
          <w:color w:val="002F5D"/>
          <w:sz w:val="20"/>
          <w:szCs w:val="20"/>
        </w:rPr>
        <w:t xml:space="preserve">Procedimiento Fiscal. Régimen de información de entidades financieras para operaciones y cuentas de sujetos no residentes. Se prorroga al período fiscal 2020 la obligación de informar </w:t>
      </w:r>
      <w:r>
        <w:rPr>
          <w:rFonts w:ascii="Arial" w:hAnsi="Arial" w:cs="Arial"/>
          <w:b/>
          <w:bCs/>
          <w:caps/>
          <w:color w:val="002F5D"/>
          <w:sz w:val="20"/>
          <w:szCs w:val="20"/>
        </w:rPr>
        <w:t xml:space="preserve">- </w:t>
      </w:r>
      <w:r w:rsidRPr="00EB166D">
        <w:rPr>
          <w:rFonts w:ascii="Arial" w:hAnsi="Arial" w:cs="Arial"/>
          <w:b/>
          <w:bCs/>
          <w:caps/>
          <w:color w:val="002F5D"/>
          <w:sz w:val="20"/>
          <w:szCs w:val="20"/>
        </w:rPr>
        <w:t>RESOLUCIÓN GENERAL (</w:t>
      </w:r>
      <w:proofErr w:type="spellStart"/>
      <w:r w:rsidRPr="00EB166D">
        <w:rPr>
          <w:rFonts w:ascii="Arial" w:hAnsi="Arial" w:cs="Arial"/>
          <w:b/>
          <w:bCs/>
          <w:caps/>
          <w:color w:val="002F5D"/>
          <w:sz w:val="20"/>
          <w:szCs w:val="20"/>
        </w:rPr>
        <w:t>Adm</w:t>
      </w:r>
      <w:proofErr w:type="spellEnd"/>
      <w:r w:rsidRPr="00EB166D">
        <w:rPr>
          <w:rFonts w:ascii="Arial" w:hAnsi="Arial" w:cs="Arial"/>
          <w:b/>
          <w:bCs/>
          <w:caps/>
          <w:color w:val="002F5D"/>
          <w:sz w:val="20"/>
          <w:szCs w:val="20"/>
        </w:rPr>
        <w:t>. Fed. Ingresos Públicos) 4492</w:t>
      </w:r>
    </w:p>
    <w:p w:rsidR="00EB166D" w:rsidRDefault="00EB166D" w:rsidP="00A70AD1">
      <w:pPr>
        <w:pStyle w:val="NormalWeb"/>
        <w:spacing w:before="0" w:beforeAutospacing="0" w:after="0" w:afterAutospacing="0"/>
        <w:jc w:val="both"/>
        <w:rPr>
          <w:rFonts w:ascii="Arial" w:eastAsiaTheme="majorEastAsia" w:hAnsi="Arial" w:cs="Arial"/>
          <w:b/>
          <w:bCs/>
          <w:caps/>
          <w:color w:val="002F5D"/>
        </w:rPr>
      </w:pP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Se prorroga al período fiscal 2020 y siguientes el régimen de información para entidades financieras locales respecto de las cuentas y operaciones cuyos titulares sean sujetos no residentes -RG (AFIP) 4056-E-</w:t>
      </w:r>
    </w:p>
    <w:p w:rsidR="00EB166D" w:rsidRP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p>
    <w:p w:rsidR="00A70AD1" w:rsidRDefault="00A70AD1" w:rsidP="00A70AD1">
      <w:pPr>
        <w:pStyle w:val="NormalWeb"/>
        <w:spacing w:before="0" w:beforeAutospacing="0" w:after="0" w:afterAutospacing="0" w:line="360" w:lineRule="auto"/>
        <w:jc w:val="both"/>
        <w:rPr>
          <w:rFonts w:ascii="Arial" w:eastAsia="Times New Roman" w:hAnsi="Arial" w:cs="Arial"/>
          <w:color w:val="666666"/>
          <w:sz w:val="20"/>
          <w:szCs w:val="20"/>
        </w:rPr>
      </w:pPr>
    </w:p>
    <w:p w:rsidR="00A70AD1" w:rsidRPr="00A70AD1" w:rsidRDefault="00A70AD1" w:rsidP="00A70AD1">
      <w:pPr>
        <w:pStyle w:val="NormalWeb"/>
        <w:spacing w:before="0" w:beforeAutospacing="0" w:after="0" w:afterAutospacing="0" w:line="360" w:lineRule="auto"/>
        <w:jc w:val="center"/>
        <w:rPr>
          <w:rFonts w:ascii="Arial" w:hAnsi="Arial" w:cs="Arial"/>
          <w:b/>
          <w:bCs/>
          <w:caps/>
          <w:color w:val="7E4F6F"/>
          <w:sz w:val="28"/>
          <w:szCs w:val="28"/>
        </w:rPr>
      </w:pPr>
      <w:r w:rsidRPr="00A70AD1">
        <w:rPr>
          <w:rFonts w:ascii="Arial" w:hAnsi="Arial" w:cs="Arial"/>
          <w:b/>
          <w:bCs/>
          <w:caps/>
          <w:color w:val="7E4F6F"/>
          <w:sz w:val="28"/>
          <w:szCs w:val="28"/>
        </w:rPr>
        <w:t>LABORALES – PREVISIONALES</w:t>
      </w:r>
    </w:p>
    <w:p w:rsidR="00EB166D" w:rsidRDefault="00EB166D" w:rsidP="00EB166D">
      <w:pPr>
        <w:pStyle w:val="NormalWeb"/>
        <w:spacing w:before="0" w:beforeAutospacing="0" w:after="0" w:afterAutospacing="0"/>
        <w:jc w:val="both"/>
        <w:rPr>
          <w:rFonts w:ascii="Arial" w:hAnsi="Arial" w:cs="Arial"/>
          <w:b/>
          <w:bCs/>
          <w:caps/>
          <w:color w:val="7E4F6F"/>
          <w:sz w:val="21"/>
          <w:szCs w:val="21"/>
        </w:rPr>
      </w:pPr>
    </w:p>
    <w:p w:rsidR="00EB166D" w:rsidRDefault="00EB166D" w:rsidP="00EB166D">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RIESGOS DEL TRABAJO</w:t>
      </w:r>
    </w:p>
    <w:p w:rsidR="00EB166D" w:rsidRDefault="00EB166D" w:rsidP="00EB166D">
      <w:pPr>
        <w:pStyle w:val="NormalWeb"/>
        <w:spacing w:before="0" w:beforeAutospacing="0" w:after="0" w:afterAutospacing="0"/>
        <w:jc w:val="both"/>
        <w:rPr>
          <w:rFonts w:ascii="Arial" w:hAnsi="Arial" w:cs="Arial"/>
          <w:b/>
          <w:bCs/>
          <w:caps/>
          <w:color w:val="7E4F6F"/>
          <w:sz w:val="21"/>
          <w:szCs w:val="21"/>
        </w:rPr>
      </w:pPr>
    </w:p>
    <w:p w:rsidR="00A70AD1"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La AFIP dio a conocer la versión actualizada del Formulario AFIP 102/RT, que incorpora las nuevas alícuotas para el pago de la cobertura de riesgos del trabajo que rige a partir de mayo de 2019.</w:t>
      </w: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p>
    <w:p w:rsidR="00EB166D" w:rsidRDefault="00EB166D" w:rsidP="00EB166D">
      <w:pPr>
        <w:pStyle w:val="NormalWeb"/>
        <w:spacing w:before="0" w:beforeAutospacing="0" w:after="0" w:afterAutospacing="0"/>
        <w:jc w:val="both"/>
        <w:rPr>
          <w:rFonts w:ascii="Arial" w:hAnsi="Arial" w:cs="Arial"/>
          <w:b/>
          <w:bCs/>
          <w:caps/>
          <w:color w:val="7F870A"/>
          <w:sz w:val="18"/>
          <w:szCs w:val="18"/>
        </w:rPr>
      </w:pPr>
      <w:r>
        <w:rPr>
          <w:rFonts w:ascii="Arial" w:hAnsi="Arial" w:cs="Arial"/>
          <w:b/>
          <w:bCs/>
          <w:caps/>
          <w:color w:val="7F870A"/>
          <w:sz w:val="18"/>
          <w:szCs w:val="18"/>
        </w:rPr>
        <w:t>Factura de crédito electrónica. Cronograma de implementación. Montos de facturación. Modificación. Proyecto de resolución</w:t>
      </w:r>
    </w:p>
    <w:p w:rsidR="00EB166D" w:rsidRDefault="00EB166D" w:rsidP="00EB166D">
      <w:pPr>
        <w:pStyle w:val="NormalWeb"/>
        <w:spacing w:before="0" w:beforeAutospacing="0" w:after="0" w:afterAutospacing="0"/>
        <w:jc w:val="both"/>
        <w:rPr>
          <w:rFonts w:ascii="Arial" w:hAnsi="Arial" w:cs="Arial"/>
          <w:b/>
          <w:bCs/>
          <w:caps/>
          <w:color w:val="7F870A"/>
          <w:sz w:val="18"/>
          <w:szCs w:val="18"/>
        </w:rPr>
      </w:pP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sidRPr="00EB166D">
        <w:rPr>
          <w:rFonts w:ascii="Arial" w:eastAsia="Times New Roman" w:hAnsi="Arial" w:cs="Arial"/>
          <w:color w:val="666666"/>
          <w:sz w:val="20"/>
          <w:szCs w:val="20"/>
        </w:rPr>
        <w:t xml:space="preserve">El Ministerio de Producción, a través de la Secretaría de Simplificación Productiva, informa que se encuentra elaborando un proyecto de resolución que establece un cronograma de implementación por monto del “Régimen de Factura de Crédito Electrónica </w:t>
      </w:r>
      <w:proofErr w:type="spellStart"/>
      <w:r w:rsidRPr="00EB166D">
        <w:rPr>
          <w:rFonts w:ascii="Arial" w:eastAsia="Times New Roman" w:hAnsi="Arial" w:cs="Arial"/>
          <w:color w:val="666666"/>
          <w:sz w:val="20"/>
          <w:szCs w:val="20"/>
        </w:rPr>
        <w:t>MiPyMEs</w:t>
      </w:r>
      <w:proofErr w:type="spellEnd"/>
      <w:r w:rsidRPr="00EB166D">
        <w:rPr>
          <w:rFonts w:ascii="Arial" w:eastAsia="Times New Roman" w:hAnsi="Arial" w:cs="Arial"/>
          <w:color w:val="666666"/>
          <w:sz w:val="20"/>
          <w:szCs w:val="20"/>
        </w:rPr>
        <w:t>”, con el fin de garantizar que dicho Régimen no afecte en modo alguno el normal desarrollo comercial de las empresas.</w:t>
      </w: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sidRPr="00EB166D">
        <w:rPr>
          <w:rFonts w:ascii="Arial" w:eastAsia="Times New Roman" w:hAnsi="Arial" w:cs="Arial"/>
          <w:color w:val="666666"/>
          <w:sz w:val="20"/>
          <w:szCs w:val="20"/>
        </w:rPr>
        <w:t>En este sentido, se reduce el monto de facturación de $ 6.000.000, que se encuentra vigente en la actualidad, según la fecha de implementación establecida en el cronograma y la industria afectada, siendo el monto mínimo previsto $ 100.000. Aclara que estos montos se consideran respecto de cada uno de los comprobantes que se emitan, sin considerar los ajustes posteriores por nota de débito y crédito.</w:t>
      </w: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sidRPr="00EB166D">
        <w:rPr>
          <w:rFonts w:ascii="Arial" w:eastAsia="Times New Roman" w:hAnsi="Arial" w:cs="Arial"/>
          <w:color w:val="666666"/>
          <w:sz w:val="20"/>
          <w:szCs w:val="20"/>
        </w:rPr>
        <w:lastRenderedPageBreak/>
        <w:t xml:space="preserve">Este cronograma resultará aplicable de manera complementaria al dispuesto actualmente en la </w:t>
      </w:r>
      <w:hyperlink r:id="rId8" w:history="1">
        <w:r w:rsidRPr="00EB166D">
          <w:rPr>
            <w:color w:val="666666"/>
            <w:sz w:val="20"/>
            <w:szCs w:val="20"/>
          </w:rPr>
          <w:t>resolución (SSP) 5/2019</w:t>
        </w:r>
      </w:hyperlink>
      <w:r w:rsidRPr="00EB166D">
        <w:rPr>
          <w:rFonts w:ascii="Arial" w:eastAsia="Times New Roman" w:hAnsi="Arial" w:cs="Arial"/>
          <w:color w:val="666666"/>
          <w:sz w:val="20"/>
          <w:szCs w:val="20"/>
        </w:rPr>
        <w:t>.</w:t>
      </w: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sidRPr="00EB166D">
        <w:rPr>
          <w:rFonts w:ascii="Arial" w:eastAsia="Times New Roman" w:hAnsi="Arial" w:cs="Arial"/>
          <w:color w:val="666666"/>
          <w:sz w:val="20"/>
          <w:szCs w:val="20"/>
        </w:rPr>
        <w:t>Asimismo, el proyecto establece que aquellas empresas que sean incorporadas en la actualización anual del universo “Empresas Grandes” que realiza la AFIP serán sujetos obligados a partir del primer día de setiembre posterior a su publicación, en tanto que las empresas que sean excluidas de dicho universo dejarán de ser sujetos obligados a partir del primer día de julio posterior a la publicación de la actualización anual, con excepción del presente ejercicio, donde la exclusión surtirá efecto de manera automática a partir de la publicación de la resolución</w:t>
      </w:r>
      <w:r>
        <w:rPr>
          <w:rFonts w:ascii="Arial" w:eastAsia="Times New Roman" w:hAnsi="Arial" w:cs="Arial"/>
          <w:color w:val="666666"/>
          <w:sz w:val="20"/>
          <w:szCs w:val="20"/>
        </w:rPr>
        <w:t>.</w:t>
      </w: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p>
    <w:p w:rsidR="00EB166D" w:rsidRDefault="00EB166D" w:rsidP="00EB166D">
      <w:pPr>
        <w:pStyle w:val="NormalWeb"/>
        <w:spacing w:before="0" w:beforeAutospacing="0" w:after="0" w:afterAutospacing="0"/>
        <w:jc w:val="both"/>
        <w:rPr>
          <w:rFonts w:ascii="Arial" w:hAnsi="Arial" w:cs="Arial"/>
          <w:b/>
          <w:bCs/>
          <w:caps/>
          <w:color w:val="376889"/>
          <w:sz w:val="21"/>
          <w:szCs w:val="21"/>
        </w:rPr>
      </w:pPr>
      <w:r>
        <w:rPr>
          <w:rFonts w:ascii="Arial" w:hAnsi="Arial" w:cs="Arial"/>
          <w:b/>
          <w:bCs/>
          <w:caps/>
          <w:color w:val="376889"/>
          <w:sz w:val="21"/>
          <w:szCs w:val="21"/>
        </w:rPr>
        <w:t xml:space="preserve">SISTEMA DE ÍNDICES DE PRECIOS MAYORISTAS (SIPM). ÍNDICE DEL COSTO DE LA CONSTRUCCIÓN (ICC). ÍNDICE DE PRECIOS AL CONSUMIDOR (IPC). ABRIL DE 2019 </w:t>
      </w:r>
    </w:p>
    <w:p w:rsidR="00EB166D" w:rsidRDefault="00EB166D" w:rsidP="00EB166D">
      <w:pPr>
        <w:pStyle w:val="NormalWeb"/>
        <w:spacing w:before="0" w:beforeAutospacing="0" w:after="0" w:afterAutospacing="0"/>
        <w:jc w:val="both"/>
        <w:rPr>
          <w:rFonts w:ascii="Arial" w:hAnsi="Arial" w:cs="Arial"/>
          <w:b/>
          <w:bCs/>
          <w:caps/>
          <w:color w:val="376889"/>
          <w:sz w:val="21"/>
          <w:szCs w:val="21"/>
        </w:rPr>
      </w:pPr>
    </w:p>
    <w:p w:rsidR="00EB166D" w:rsidRDefault="00EB166D" w:rsidP="00EB166D">
      <w:pPr>
        <w:spacing w:after="24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El Instituto Nacional de Estadística y Censos (INDEC) ha difundido la variación porcentual de los "Índices de Precios Mayoristas" (SIPM), "Índice del Costo de la Construcción" (ICC) e “Índice de Precios al Consumidor” (IPC) para el mes de abril de 2019: </w:t>
      </w:r>
    </w:p>
    <w:tbl>
      <w:tblPr>
        <w:tblW w:w="3394"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469"/>
        <w:gridCol w:w="2578"/>
      </w:tblGrid>
      <w:tr w:rsidR="00EB166D" w:rsidTr="00EB166D">
        <w:trPr>
          <w:trHeight w:val="234"/>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166D" w:rsidRDefault="00EB166D" w:rsidP="005B23D4">
            <w:pPr>
              <w:jc w:val="center"/>
              <w:rPr>
                <w:rFonts w:eastAsia="Times New Roman"/>
              </w:rPr>
            </w:pPr>
            <w:r>
              <w:rPr>
                <w:rStyle w:val="Textoennegrita"/>
                <w:rFonts w:ascii="Arial" w:eastAsia="Times New Roman" w:hAnsi="Arial" w:cs="Arial"/>
                <w:sz w:val="20"/>
                <w:szCs w:val="20"/>
              </w:rPr>
              <w:t>Nivel general 2019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166D" w:rsidRDefault="00EB166D" w:rsidP="005B23D4">
            <w:pPr>
              <w:jc w:val="center"/>
              <w:rPr>
                <w:rFonts w:eastAsia="Times New Roman"/>
              </w:rPr>
            </w:pPr>
            <w:r>
              <w:rPr>
                <w:rStyle w:val="Textoennegrita"/>
                <w:rFonts w:ascii="Arial" w:eastAsia="Times New Roman" w:hAnsi="Arial" w:cs="Arial"/>
                <w:sz w:val="20"/>
                <w:szCs w:val="20"/>
              </w:rPr>
              <w:t>Abril 2019 (*)</w:t>
            </w:r>
          </w:p>
        </w:tc>
      </w:tr>
      <w:tr w:rsidR="00EB166D" w:rsidTr="00EB166D">
        <w:trPr>
          <w:trHeight w:val="234"/>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166D" w:rsidRDefault="00EB166D" w:rsidP="005B23D4">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166D" w:rsidRDefault="00EB166D" w:rsidP="005B23D4">
            <w:pPr>
              <w:jc w:val="center"/>
              <w:rPr>
                <w:rFonts w:eastAsia="Times New Roman"/>
              </w:rPr>
            </w:pPr>
            <w:r>
              <w:rPr>
                <w:rStyle w:val="Textoennegrita"/>
                <w:rFonts w:ascii="Arial" w:eastAsia="Times New Roman" w:hAnsi="Arial" w:cs="Arial"/>
                <w:sz w:val="20"/>
                <w:szCs w:val="20"/>
              </w:rPr>
              <w:t>Variación % respecto al mes anterior</w:t>
            </w:r>
          </w:p>
        </w:tc>
      </w:tr>
      <w:tr w:rsidR="00EB166D" w:rsidTr="00EB166D">
        <w:trPr>
          <w:trHeight w:val="23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166D" w:rsidRDefault="00EB166D" w:rsidP="005B23D4">
            <w:pPr>
              <w:jc w:val="center"/>
              <w:rPr>
                <w:rFonts w:eastAsia="Times New Roman"/>
              </w:rPr>
            </w:pPr>
            <w:r>
              <w:rPr>
                <w:rFonts w:ascii="Arial" w:eastAsia="Times New Roman" w:hAnsi="Arial" w:cs="Arial"/>
                <w:sz w:val="20"/>
                <w:szCs w:val="20"/>
              </w:rPr>
              <w:t>Índice de Precios Internos al por Mayor (IPIM)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166D" w:rsidRDefault="00EB166D" w:rsidP="005B23D4">
            <w:pPr>
              <w:jc w:val="center"/>
              <w:rPr>
                <w:rFonts w:eastAsia="Times New Roman"/>
              </w:rPr>
            </w:pPr>
            <w:r>
              <w:rPr>
                <w:rFonts w:ascii="Arial" w:eastAsia="Times New Roman" w:hAnsi="Arial" w:cs="Arial"/>
                <w:sz w:val="20"/>
                <w:szCs w:val="20"/>
              </w:rPr>
              <w:t>4,6</w:t>
            </w:r>
          </w:p>
        </w:tc>
      </w:tr>
      <w:tr w:rsidR="00EB166D" w:rsidTr="00EB166D">
        <w:trPr>
          <w:trHeight w:val="23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166D" w:rsidRDefault="00EB166D" w:rsidP="005B23D4">
            <w:pPr>
              <w:jc w:val="center"/>
              <w:rPr>
                <w:rFonts w:eastAsia="Times New Roman"/>
              </w:rPr>
            </w:pPr>
            <w:r>
              <w:rPr>
                <w:rFonts w:ascii="Arial" w:eastAsia="Times New Roman" w:hAnsi="Arial" w:cs="Arial"/>
                <w:sz w:val="20"/>
                <w:szCs w:val="20"/>
              </w:rPr>
              <w:t>Índice de Precios Internos Básicos al por Mayor (IPIB)</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166D" w:rsidRDefault="00EB166D" w:rsidP="005B23D4">
            <w:pPr>
              <w:jc w:val="center"/>
              <w:rPr>
                <w:rFonts w:eastAsia="Times New Roman"/>
              </w:rPr>
            </w:pPr>
            <w:r>
              <w:rPr>
                <w:rFonts w:ascii="Arial" w:eastAsia="Times New Roman" w:hAnsi="Arial" w:cs="Arial"/>
                <w:sz w:val="20"/>
                <w:szCs w:val="20"/>
              </w:rPr>
              <w:t>4,5</w:t>
            </w:r>
          </w:p>
        </w:tc>
      </w:tr>
      <w:tr w:rsidR="00EB166D" w:rsidTr="00EB166D">
        <w:trPr>
          <w:trHeight w:val="234"/>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166D" w:rsidRDefault="00EB166D" w:rsidP="005B23D4">
            <w:pPr>
              <w:jc w:val="center"/>
              <w:rPr>
                <w:rFonts w:eastAsia="Times New Roman"/>
              </w:rPr>
            </w:pPr>
            <w:r>
              <w:rPr>
                <w:rFonts w:ascii="Arial" w:eastAsia="Times New Roman" w:hAnsi="Arial" w:cs="Arial"/>
                <w:sz w:val="20"/>
                <w:szCs w:val="20"/>
              </w:rPr>
              <w:t>Índice de Precios Básicos del Productor (IPP)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166D" w:rsidRDefault="00EB166D" w:rsidP="005B23D4">
            <w:pPr>
              <w:jc w:val="center"/>
              <w:rPr>
                <w:rFonts w:eastAsia="Times New Roman"/>
              </w:rPr>
            </w:pPr>
            <w:r>
              <w:rPr>
                <w:rFonts w:ascii="Arial" w:eastAsia="Times New Roman" w:hAnsi="Arial" w:cs="Arial"/>
                <w:sz w:val="20"/>
                <w:szCs w:val="20"/>
              </w:rPr>
              <w:t>4,4</w:t>
            </w:r>
          </w:p>
        </w:tc>
      </w:tr>
      <w:tr w:rsidR="00EB166D" w:rsidTr="00EB166D">
        <w:trPr>
          <w:trHeight w:val="747"/>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166D" w:rsidRDefault="00EB166D" w:rsidP="005B23D4">
            <w:pPr>
              <w:jc w:val="center"/>
              <w:rPr>
                <w:rFonts w:eastAsia="Times New Roman"/>
              </w:rPr>
            </w:pPr>
            <w:r>
              <w:rPr>
                <w:rFonts w:ascii="Arial" w:eastAsia="Times New Roman" w:hAnsi="Arial" w:cs="Arial"/>
                <w:sz w:val="20"/>
                <w:szCs w:val="20"/>
              </w:rPr>
              <w:t>Índice del Costo de la Construcción Gran Bs. 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166D" w:rsidRDefault="00EB166D" w:rsidP="005B23D4">
            <w:pPr>
              <w:jc w:val="center"/>
              <w:rPr>
                <w:rFonts w:eastAsia="Times New Roman"/>
              </w:rPr>
            </w:pPr>
            <w:r>
              <w:rPr>
                <w:rFonts w:ascii="Arial" w:eastAsia="Times New Roman" w:hAnsi="Arial" w:cs="Arial"/>
                <w:sz w:val="20"/>
                <w:szCs w:val="20"/>
              </w:rPr>
              <w:t>2,0</w:t>
            </w:r>
          </w:p>
        </w:tc>
      </w:tr>
      <w:tr w:rsidR="00EB166D" w:rsidTr="00EB166D">
        <w:trPr>
          <w:trHeight w:val="747"/>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166D" w:rsidRDefault="00EB166D" w:rsidP="005B23D4">
            <w:pPr>
              <w:jc w:val="center"/>
              <w:rPr>
                <w:rFonts w:eastAsia="Times New Roman"/>
              </w:rPr>
            </w:pPr>
            <w:r>
              <w:rPr>
                <w:rFonts w:ascii="Arial" w:eastAsia="Times New Roman" w:hAnsi="Arial" w:cs="Arial"/>
                <w:sz w:val="20"/>
                <w:szCs w:val="20"/>
              </w:rPr>
              <w:t>Índice de Precios al Consumidor (IPC)</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166D" w:rsidRDefault="00EB166D" w:rsidP="005B23D4">
            <w:pPr>
              <w:jc w:val="center"/>
              <w:rPr>
                <w:rFonts w:eastAsia="Times New Roman"/>
              </w:rPr>
            </w:pPr>
            <w:r>
              <w:rPr>
                <w:rFonts w:ascii="Arial" w:eastAsia="Times New Roman" w:hAnsi="Arial" w:cs="Arial"/>
                <w:sz w:val="20"/>
                <w:szCs w:val="20"/>
              </w:rPr>
              <w:t>3,4</w:t>
            </w:r>
          </w:p>
        </w:tc>
      </w:tr>
    </w:tbl>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br/>
        <w:t>(*) Dato provisorio</w:t>
      </w: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p>
    <w:p w:rsidR="00EB166D" w:rsidRDefault="00EB166D" w:rsidP="00EB166D">
      <w:pPr>
        <w:pStyle w:val="NormalWeb"/>
        <w:spacing w:before="0" w:beforeAutospacing="0" w:after="0" w:afterAutospacing="0"/>
        <w:jc w:val="both"/>
        <w:rPr>
          <w:rFonts w:ascii="Arial" w:hAnsi="Arial" w:cs="Arial"/>
          <w:b/>
          <w:bCs/>
          <w:caps/>
          <w:color w:val="7F870A"/>
          <w:sz w:val="18"/>
          <w:szCs w:val="18"/>
        </w:rPr>
      </w:pPr>
      <w:r w:rsidRPr="00EB166D">
        <w:rPr>
          <w:rFonts w:ascii="Arial" w:hAnsi="Arial" w:cs="Arial"/>
          <w:b/>
          <w:bCs/>
          <w:caps/>
          <w:color w:val="7F870A"/>
          <w:sz w:val="18"/>
          <w:szCs w:val="18"/>
        </w:rPr>
        <w:t>Sanción del Congreso de la Nación</w:t>
      </w:r>
    </w:p>
    <w:p w:rsidR="00EB166D" w:rsidRPr="00EB166D" w:rsidRDefault="00EB166D" w:rsidP="00EB166D">
      <w:pPr>
        <w:pStyle w:val="NormalWeb"/>
        <w:spacing w:before="0" w:beforeAutospacing="0" w:after="0" w:afterAutospacing="0"/>
        <w:jc w:val="both"/>
        <w:rPr>
          <w:rFonts w:ascii="Arial" w:hAnsi="Arial" w:cs="Arial"/>
          <w:b/>
          <w:bCs/>
          <w:caps/>
          <w:color w:val="7F870A"/>
          <w:sz w:val="18"/>
          <w:szCs w:val="18"/>
        </w:rPr>
      </w:pP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El Congreso de la Nación aprobó el pasado miércoles la ley que promueve la economía del conocimiento. A través de la citada ley, se establecen beneficios impositivos para las industrias de software, biotecnología, </w:t>
      </w:r>
      <w:proofErr w:type="gramStart"/>
      <w:r>
        <w:rPr>
          <w:rFonts w:ascii="Arial" w:eastAsia="Times New Roman" w:hAnsi="Arial" w:cs="Arial"/>
          <w:color w:val="666666"/>
          <w:sz w:val="20"/>
          <w:szCs w:val="20"/>
        </w:rPr>
        <w:t>industrias aeroespacial</w:t>
      </w:r>
      <w:proofErr w:type="gramEnd"/>
      <w:r>
        <w:rPr>
          <w:rFonts w:ascii="Arial" w:eastAsia="Times New Roman" w:hAnsi="Arial" w:cs="Arial"/>
          <w:color w:val="666666"/>
          <w:sz w:val="20"/>
          <w:szCs w:val="20"/>
        </w:rPr>
        <w:t xml:space="preserve"> y satelital, audiovisual, servicios geológicos, de prospección y relacionados con electrónica y comunicaciones, centros de exportación de servicios profesionales, investigación y desarrollo, nanotecnología y </w:t>
      </w:r>
      <w:proofErr w:type="spellStart"/>
      <w:r>
        <w:rPr>
          <w:rFonts w:ascii="Arial" w:eastAsia="Times New Roman" w:hAnsi="Arial" w:cs="Arial"/>
          <w:color w:val="666666"/>
          <w:sz w:val="20"/>
          <w:szCs w:val="20"/>
        </w:rPr>
        <w:t>nanociencia</w:t>
      </w:r>
      <w:proofErr w:type="spellEnd"/>
      <w:r>
        <w:rPr>
          <w:rFonts w:ascii="Arial" w:eastAsia="Times New Roman" w:hAnsi="Arial" w:cs="Arial"/>
          <w:color w:val="666666"/>
          <w:sz w:val="20"/>
          <w:szCs w:val="20"/>
        </w:rPr>
        <w:t xml:space="preserve"> y la fabricación de bienes </w:t>
      </w:r>
      <w:r>
        <w:rPr>
          <w:rFonts w:ascii="Arial" w:eastAsia="Times New Roman" w:hAnsi="Arial" w:cs="Arial"/>
          <w:color w:val="666666"/>
          <w:sz w:val="20"/>
          <w:szCs w:val="20"/>
        </w:rPr>
        <w:lastRenderedPageBreak/>
        <w:t xml:space="preserve">4.0 conectados a la tecnología. Los sujetos beneficiados por el presente régimen poseen los siguientes beneficios: </w:t>
      </w: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 </w:t>
      </w:r>
      <w:proofErr w:type="gramStart"/>
      <w:r>
        <w:rPr>
          <w:rFonts w:ascii="Arial" w:eastAsia="Times New Roman" w:hAnsi="Arial" w:cs="Arial"/>
          <w:color w:val="666666"/>
          <w:sz w:val="20"/>
          <w:szCs w:val="20"/>
        </w:rPr>
        <w:t>estabilidad</w:t>
      </w:r>
      <w:proofErr w:type="gramEnd"/>
      <w:r>
        <w:rPr>
          <w:rFonts w:ascii="Arial" w:eastAsia="Times New Roman" w:hAnsi="Arial" w:cs="Arial"/>
          <w:color w:val="666666"/>
          <w:sz w:val="20"/>
          <w:szCs w:val="20"/>
        </w:rPr>
        <w:t xml:space="preserve"> fiscal;</w:t>
      </w: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una alícuota reducida del impuesto a las ganancias del 15%;</w:t>
      </w: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r>
        <w:rPr>
          <w:rFonts w:ascii="Arial" w:eastAsia="Times New Roman" w:hAnsi="Arial" w:cs="Arial"/>
          <w:color w:val="666666"/>
          <w:sz w:val="20"/>
          <w:szCs w:val="20"/>
        </w:rPr>
        <w:t xml:space="preserve">* </w:t>
      </w:r>
      <w:proofErr w:type="gramStart"/>
      <w:r>
        <w:rPr>
          <w:rFonts w:ascii="Arial" w:eastAsia="Times New Roman" w:hAnsi="Arial" w:cs="Arial"/>
          <w:color w:val="666666"/>
          <w:sz w:val="20"/>
          <w:szCs w:val="20"/>
        </w:rPr>
        <w:t>los</w:t>
      </w:r>
      <w:proofErr w:type="gramEnd"/>
      <w:r>
        <w:rPr>
          <w:rFonts w:ascii="Arial" w:eastAsia="Times New Roman" w:hAnsi="Arial" w:cs="Arial"/>
          <w:color w:val="666666"/>
          <w:sz w:val="20"/>
          <w:szCs w:val="20"/>
        </w:rPr>
        <w:t xml:space="preserve"> beneficiarios no serán sujetos pasibles de retenciones ni percepciones del impuesto al valor agregado;</w:t>
      </w:r>
      <w:r>
        <w:rPr>
          <w:rFonts w:ascii="Arial" w:eastAsia="Times New Roman" w:hAnsi="Arial" w:cs="Arial"/>
          <w:color w:val="666666"/>
          <w:sz w:val="20"/>
          <w:szCs w:val="20"/>
        </w:rPr>
        <w:br/>
        <w:t>* se establece una reducción adicional a las contribuciones patronales y la posibilidad de generar un bono de crédito fiscal por las contribuciones que hubiera correspondido pagar.</w:t>
      </w:r>
    </w:p>
    <w:p w:rsidR="00EB166D" w:rsidRDefault="00EB166D" w:rsidP="00EB166D">
      <w:pPr>
        <w:pStyle w:val="NormalWeb"/>
        <w:spacing w:before="0" w:beforeAutospacing="0" w:after="0" w:afterAutospacing="0" w:line="360" w:lineRule="auto"/>
        <w:jc w:val="both"/>
        <w:rPr>
          <w:rFonts w:ascii="Arial" w:eastAsia="Times New Roman" w:hAnsi="Arial" w:cs="Arial"/>
          <w:color w:val="666666"/>
          <w:sz w:val="20"/>
          <w:szCs w:val="20"/>
        </w:rPr>
      </w:pPr>
    </w:p>
    <w:sectPr w:rsidR="00EB166D" w:rsidSect="002A1585">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EE9" w:rsidRDefault="004F0EE9" w:rsidP="00A22916">
      <w:r>
        <w:separator/>
      </w:r>
    </w:p>
  </w:endnote>
  <w:endnote w:type="continuationSeparator" w:id="0">
    <w:p w:rsidR="004F0EE9" w:rsidRDefault="004F0EE9" w:rsidP="00A2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E9" w:rsidRDefault="004F0EE9"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EB166D" w:rsidRPr="00EB166D">
        <w:rPr>
          <w:rFonts w:asciiTheme="majorHAnsi" w:hAnsiTheme="majorHAnsi"/>
          <w:noProof/>
        </w:rPr>
        <w:t>3</w:t>
      </w:r>
    </w:fldSimple>
  </w:p>
  <w:p w:rsidR="004F0EE9" w:rsidRDefault="004F0EE9" w:rsidP="0063669F">
    <w:pPr>
      <w:pStyle w:val="Piedepgina"/>
    </w:pPr>
  </w:p>
  <w:p w:rsidR="004F0EE9" w:rsidRDefault="004F0EE9" w:rsidP="0063669F">
    <w:pPr>
      <w:pStyle w:val="Piedepgina"/>
    </w:pPr>
  </w:p>
  <w:p w:rsidR="004F0EE9" w:rsidRDefault="004F0EE9"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EE9" w:rsidRDefault="004F0EE9" w:rsidP="00A22916">
      <w:r>
        <w:separator/>
      </w:r>
    </w:p>
  </w:footnote>
  <w:footnote w:type="continuationSeparator" w:id="0">
    <w:p w:rsidR="004F0EE9" w:rsidRDefault="004F0EE9"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EE9" w:rsidRDefault="004F0EE9" w:rsidP="0063669F">
    <w:pPr>
      <w:pStyle w:val="Ttulo"/>
      <w:tabs>
        <w:tab w:val="center" w:pos="4252"/>
      </w:tabs>
      <w:rPr>
        <w:b/>
        <w:sz w:val="40"/>
        <w:szCs w:val="40"/>
      </w:rPr>
    </w:pPr>
    <w:r>
      <w:rPr>
        <w:noProof/>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2</w:t>
    </w:r>
    <w:r w:rsidR="00EB166D">
      <w:rPr>
        <w:b/>
        <w:sz w:val="40"/>
        <w:szCs w:val="40"/>
      </w:rPr>
      <w:t>1</w:t>
    </w:r>
    <w:r>
      <w:rPr>
        <w:b/>
        <w:sz w:val="40"/>
        <w:szCs w:val="40"/>
      </w:rPr>
      <w:t>-19</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EEF"/>
    <w:multiLevelType w:val="multilevel"/>
    <w:tmpl w:val="E280E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127379"/>
    <w:multiLevelType w:val="multilevel"/>
    <w:tmpl w:val="56BE0C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13166E"/>
    <w:multiLevelType w:val="multilevel"/>
    <w:tmpl w:val="6A50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B0E1A"/>
    <w:multiLevelType w:val="hybridMultilevel"/>
    <w:tmpl w:val="148EFE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034895"/>
    <w:multiLevelType w:val="multilevel"/>
    <w:tmpl w:val="89A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05905"/>
    <w:multiLevelType w:val="hybridMultilevel"/>
    <w:tmpl w:val="AE5C9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15612B"/>
    <w:multiLevelType w:val="multilevel"/>
    <w:tmpl w:val="04BC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3A6131"/>
    <w:multiLevelType w:val="hybridMultilevel"/>
    <w:tmpl w:val="DA3CF0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AE53DE7"/>
    <w:multiLevelType w:val="multilevel"/>
    <w:tmpl w:val="EA987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B03195"/>
    <w:multiLevelType w:val="multilevel"/>
    <w:tmpl w:val="A0E042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D11293"/>
    <w:multiLevelType w:val="hybridMultilevel"/>
    <w:tmpl w:val="BB08A612"/>
    <w:lvl w:ilvl="0" w:tplc="DCEA8DF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EF8203D"/>
    <w:multiLevelType w:val="hybridMultilevel"/>
    <w:tmpl w:val="93FA5B6C"/>
    <w:lvl w:ilvl="0" w:tplc="2C0A000F">
      <w:start w:val="1"/>
      <w:numFmt w:val="decimal"/>
      <w:lvlText w:val="%1."/>
      <w:lvlJc w:val="left"/>
      <w:pPr>
        <w:ind w:left="780" w:hanging="360"/>
      </w:pPr>
      <w:rPr>
        <w:rFont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2">
    <w:nsid w:val="306B2FAC"/>
    <w:multiLevelType w:val="multilevel"/>
    <w:tmpl w:val="20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E7A4E"/>
    <w:multiLevelType w:val="multilevel"/>
    <w:tmpl w:val="96D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A02C92"/>
    <w:multiLevelType w:val="hybridMultilevel"/>
    <w:tmpl w:val="9586CF7C"/>
    <w:lvl w:ilvl="0" w:tplc="D1844A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DE5284"/>
    <w:multiLevelType w:val="multilevel"/>
    <w:tmpl w:val="ADDC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ED7990"/>
    <w:multiLevelType w:val="hybridMultilevel"/>
    <w:tmpl w:val="CD864C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096FD0"/>
    <w:multiLevelType w:val="hybridMultilevel"/>
    <w:tmpl w:val="AB848396"/>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8">
    <w:nsid w:val="6CCD4950"/>
    <w:multiLevelType w:val="multilevel"/>
    <w:tmpl w:val="A302F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D375B"/>
    <w:multiLevelType w:val="hybridMultilevel"/>
    <w:tmpl w:val="2ABCEF6C"/>
    <w:lvl w:ilvl="0" w:tplc="A48C23F0">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FF541C4"/>
    <w:multiLevelType w:val="multilevel"/>
    <w:tmpl w:val="64A0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18"/>
  </w:num>
  <w:num w:numId="8">
    <w:abstractNumId w:val="17"/>
  </w:num>
  <w:num w:numId="9">
    <w:abstractNumId w:val="11"/>
  </w:num>
  <w:num w:numId="10">
    <w:abstractNumId w:val="16"/>
  </w:num>
  <w:num w:numId="11">
    <w:abstractNumId w:val="10"/>
  </w:num>
  <w:num w:numId="12">
    <w:abstractNumId w:val="12"/>
  </w:num>
  <w:num w:numId="13">
    <w:abstractNumId w:val="13"/>
  </w:num>
  <w:num w:numId="14">
    <w:abstractNumId w:val="5"/>
  </w:num>
  <w:num w:numId="15">
    <w:abstractNumId w:val="7"/>
  </w:num>
  <w:num w:numId="16">
    <w:abstractNumId w:val="3"/>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2"/>
  </w:num>
  <w:num w:numId="2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205F"/>
    <w:rsid w:val="00006B7B"/>
    <w:rsid w:val="00010986"/>
    <w:rsid w:val="00011E32"/>
    <w:rsid w:val="000141BB"/>
    <w:rsid w:val="0001798D"/>
    <w:rsid w:val="00024857"/>
    <w:rsid w:val="00024BA0"/>
    <w:rsid w:val="0002757E"/>
    <w:rsid w:val="00027808"/>
    <w:rsid w:val="00027FB3"/>
    <w:rsid w:val="000312D1"/>
    <w:rsid w:val="00034B4E"/>
    <w:rsid w:val="000365F4"/>
    <w:rsid w:val="000458FF"/>
    <w:rsid w:val="00046CEE"/>
    <w:rsid w:val="00050F8A"/>
    <w:rsid w:val="00051387"/>
    <w:rsid w:val="00052113"/>
    <w:rsid w:val="0005273D"/>
    <w:rsid w:val="00053748"/>
    <w:rsid w:val="00056F18"/>
    <w:rsid w:val="00062E45"/>
    <w:rsid w:val="00062FB9"/>
    <w:rsid w:val="00064195"/>
    <w:rsid w:val="00071A2E"/>
    <w:rsid w:val="00076567"/>
    <w:rsid w:val="0008176D"/>
    <w:rsid w:val="000821B3"/>
    <w:rsid w:val="0008428F"/>
    <w:rsid w:val="00084E86"/>
    <w:rsid w:val="00086651"/>
    <w:rsid w:val="00086A6F"/>
    <w:rsid w:val="00087F32"/>
    <w:rsid w:val="000902D4"/>
    <w:rsid w:val="000938D2"/>
    <w:rsid w:val="000A444A"/>
    <w:rsid w:val="000A498D"/>
    <w:rsid w:val="000B1065"/>
    <w:rsid w:val="000B25E4"/>
    <w:rsid w:val="000C4B1E"/>
    <w:rsid w:val="000C4F4D"/>
    <w:rsid w:val="000C519C"/>
    <w:rsid w:val="000C584E"/>
    <w:rsid w:val="000C7AD0"/>
    <w:rsid w:val="000C7BA3"/>
    <w:rsid w:val="000D39D2"/>
    <w:rsid w:val="000D70E0"/>
    <w:rsid w:val="000D70E8"/>
    <w:rsid w:val="000E0356"/>
    <w:rsid w:val="000E4D44"/>
    <w:rsid w:val="000E5944"/>
    <w:rsid w:val="000E66E0"/>
    <w:rsid w:val="000E7201"/>
    <w:rsid w:val="000F400D"/>
    <w:rsid w:val="000F62E1"/>
    <w:rsid w:val="000F64B0"/>
    <w:rsid w:val="000F6D2A"/>
    <w:rsid w:val="00105129"/>
    <w:rsid w:val="00105285"/>
    <w:rsid w:val="00106118"/>
    <w:rsid w:val="00106BEE"/>
    <w:rsid w:val="00107640"/>
    <w:rsid w:val="0011767B"/>
    <w:rsid w:val="00122901"/>
    <w:rsid w:val="0012658E"/>
    <w:rsid w:val="00126ACA"/>
    <w:rsid w:val="00134995"/>
    <w:rsid w:val="00135AA0"/>
    <w:rsid w:val="00135BCF"/>
    <w:rsid w:val="00136B14"/>
    <w:rsid w:val="00141498"/>
    <w:rsid w:val="0014698B"/>
    <w:rsid w:val="001540D5"/>
    <w:rsid w:val="00154BFA"/>
    <w:rsid w:val="0015538B"/>
    <w:rsid w:val="001560F3"/>
    <w:rsid w:val="001563E8"/>
    <w:rsid w:val="001622C1"/>
    <w:rsid w:val="00162FBF"/>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453"/>
    <w:rsid w:val="00195BB4"/>
    <w:rsid w:val="0019731C"/>
    <w:rsid w:val="001A31B7"/>
    <w:rsid w:val="001A4644"/>
    <w:rsid w:val="001A5BCA"/>
    <w:rsid w:val="001B1392"/>
    <w:rsid w:val="001B1C4E"/>
    <w:rsid w:val="001B393D"/>
    <w:rsid w:val="001B4815"/>
    <w:rsid w:val="001B4C1D"/>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7A71"/>
    <w:rsid w:val="00207B67"/>
    <w:rsid w:val="0021050C"/>
    <w:rsid w:val="00211D9E"/>
    <w:rsid w:val="00213574"/>
    <w:rsid w:val="00214DFC"/>
    <w:rsid w:val="0021646B"/>
    <w:rsid w:val="00216D58"/>
    <w:rsid w:val="00220BF4"/>
    <w:rsid w:val="00220EF7"/>
    <w:rsid w:val="002213CD"/>
    <w:rsid w:val="002241AE"/>
    <w:rsid w:val="00227B89"/>
    <w:rsid w:val="002312B9"/>
    <w:rsid w:val="00232F64"/>
    <w:rsid w:val="00233626"/>
    <w:rsid w:val="00233E5D"/>
    <w:rsid w:val="00234178"/>
    <w:rsid w:val="002350C4"/>
    <w:rsid w:val="00236C10"/>
    <w:rsid w:val="00242334"/>
    <w:rsid w:val="002462C5"/>
    <w:rsid w:val="002514CE"/>
    <w:rsid w:val="00251B56"/>
    <w:rsid w:val="002551A7"/>
    <w:rsid w:val="00257FF4"/>
    <w:rsid w:val="002623BD"/>
    <w:rsid w:val="002624C4"/>
    <w:rsid w:val="0026302D"/>
    <w:rsid w:val="002638FA"/>
    <w:rsid w:val="0026757F"/>
    <w:rsid w:val="00270353"/>
    <w:rsid w:val="00271C49"/>
    <w:rsid w:val="00273972"/>
    <w:rsid w:val="002763D5"/>
    <w:rsid w:val="002829F3"/>
    <w:rsid w:val="00282A0D"/>
    <w:rsid w:val="002858FC"/>
    <w:rsid w:val="00294E91"/>
    <w:rsid w:val="00295357"/>
    <w:rsid w:val="002961FB"/>
    <w:rsid w:val="0029636E"/>
    <w:rsid w:val="002976FD"/>
    <w:rsid w:val="00297C23"/>
    <w:rsid w:val="002A079A"/>
    <w:rsid w:val="002A1585"/>
    <w:rsid w:val="002A3419"/>
    <w:rsid w:val="002A3555"/>
    <w:rsid w:val="002B06F2"/>
    <w:rsid w:val="002B09F0"/>
    <w:rsid w:val="002B1B93"/>
    <w:rsid w:val="002B2A40"/>
    <w:rsid w:val="002B3E46"/>
    <w:rsid w:val="002B5F87"/>
    <w:rsid w:val="002C01BA"/>
    <w:rsid w:val="002C2500"/>
    <w:rsid w:val="002C3ED4"/>
    <w:rsid w:val="002C5F80"/>
    <w:rsid w:val="002D15E2"/>
    <w:rsid w:val="002D1AF7"/>
    <w:rsid w:val="002D2CE9"/>
    <w:rsid w:val="002D5824"/>
    <w:rsid w:val="002D6A6D"/>
    <w:rsid w:val="002D7BF7"/>
    <w:rsid w:val="002D7DD8"/>
    <w:rsid w:val="002E3DF1"/>
    <w:rsid w:val="002E57F7"/>
    <w:rsid w:val="002F0DAC"/>
    <w:rsid w:val="002F171E"/>
    <w:rsid w:val="002F4211"/>
    <w:rsid w:val="002F5190"/>
    <w:rsid w:val="002F77C6"/>
    <w:rsid w:val="00307053"/>
    <w:rsid w:val="003071A2"/>
    <w:rsid w:val="00311084"/>
    <w:rsid w:val="0031201A"/>
    <w:rsid w:val="00314005"/>
    <w:rsid w:val="003232AB"/>
    <w:rsid w:val="00323B84"/>
    <w:rsid w:val="00325497"/>
    <w:rsid w:val="0032774C"/>
    <w:rsid w:val="00327D6E"/>
    <w:rsid w:val="00327E9B"/>
    <w:rsid w:val="0033093F"/>
    <w:rsid w:val="003353BD"/>
    <w:rsid w:val="00335A77"/>
    <w:rsid w:val="003363D2"/>
    <w:rsid w:val="003374DA"/>
    <w:rsid w:val="00354827"/>
    <w:rsid w:val="00354D8B"/>
    <w:rsid w:val="00356793"/>
    <w:rsid w:val="00356AE3"/>
    <w:rsid w:val="00363D85"/>
    <w:rsid w:val="00366324"/>
    <w:rsid w:val="003669E8"/>
    <w:rsid w:val="0037064F"/>
    <w:rsid w:val="00371368"/>
    <w:rsid w:val="00373FA9"/>
    <w:rsid w:val="00383AD6"/>
    <w:rsid w:val="00383E0A"/>
    <w:rsid w:val="00384AD2"/>
    <w:rsid w:val="00387F1F"/>
    <w:rsid w:val="003A0047"/>
    <w:rsid w:val="003A1FE2"/>
    <w:rsid w:val="003A2813"/>
    <w:rsid w:val="003A570E"/>
    <w:rsid w:val="003A7B3C"/>
    <w:rsid w:val="003B2804"/>
    <w:rsid w:val="003B3D0A"/>
    <w:rsid w:val="003C0DB9"/>
    <w:rsid w:val="003D0EDE"/>
    <w:rsid w:val="003D1833"/>
    <w:rsid w:val="003E023C"/>
    <w:rsid w:val="003E1EB2"/>
    <w:rsid w:val="003E3086"/>
    <w:rsid w:val="003E4228"/>
    <w:rsid w:val="003E7115"/>
    <w:rsid w:val="003F0D3A"/>
    <w:rsid w:val="003F1343"/>
    <w:rsid w:val="003F71CB"/>
    <w:rsid w:val="004009D3"/>
    <w:rsid w:val="00401141"/>
    <w:rsid w:val="00405AC5"/>
    <w:rsid w:val="004106EC"/>
    <w:rsid w:val="00410B9F"/>
    <w:rsid w:val="00415ED4"/>
    <w:rsid w:val="0041650B"/>
    <w:rsid w:val="0042119B"/>
    <w:rsid w:val="00422105"/>
    <w:rsid w:val="0042261A"/>
    <w:rsid w:val="0042382F"/>
    <w:rsid w:val="004241A4"/>
    <w:rsid w:val="00424B12"/>
    <w:rsid w:val="0042600F"/>
    <w:rsid w:val="004267D1"/>
    <w:rsid w:val="00426D05"/>
    <w:rsid w:val="00430834"/>
    <w:rsid w:val="00430CD3"/>
    <w:rsid w:val="00435CE1"/>
    <w:rsid w:val="00437F8F"/>
    <w:rsid w:val="004407D1"/>
    <w:rsid w:val="00443CD0"/>
    <w:rsid w:val="004503E0"/>
    <w:rsid w:val="00450B7D"/>
    <w:rsid w:val="00455005"/>
    <w:rsid w:val="00455EBD"/>
    <w:rsid w:val="00456DA9"/>
    <w:rsid w:val="00461716"/>
    <w:rsid w:val="00462760"/>
    <w:rsid w:val="0047057E"/>
    <w:rsid w:val="0047344F"/>
    <w:rsid w:val="0047412D"/>
    <w:rsid w:val="004760AD"/>
    <w:rsid w:val="00477975"/>
    <w:rsid w:val="00483559"/>
    <w:rsid w:val="00483F29"/>
    <w:rsid w:val="00487999"/>
    <w:rsid w:val="00487BC1"/>
    <w:rsid w:val="004932E8"/>
    <w:rsid w:val="0049407F"/>
    <w:rsid w:val="00496327"/>
    <w:rsid w:val="004969BB"/>
    <w:rsid w:val="004974E0"/>
    <w:rsid w:val="00497CF4"/>
    <w:rsid w:val="004A4833"/>
    <w:rsid w:val="004A6946"/>
    <w:rsid w:val="004B103F"/>
    <w:rsid w:val="004B35EC"/>
    <w:rsid w:val="004B3914"/>
    <w:rsid w:val="004B449C"/>
    <w:rsid w:val="004C0A06"/>
    <w:rsid w:val="004C26EB"/>
    <w:rsid w:val="004C3712"/>
    <w:rsid w:val="004C3EC4"/>
    <w:rsid w:val="004C456A"/>
    <w:rsid w:val="004D1D0A"/>
    <w:rsid w:val="004D2218"/>
    <w:rsid w:val="004D3372"/>
    <w:rsid w:val="004D4BFE"/>
    <w:rsid w:val="004D5A93"/>
    <w:rsid w:val="004D7E15"/>
    <w:rsid w:val="004E007C"/>
    <w:rsid w:val="004E11B3"/>
    <w:rsid w:val="004E1502"/>
    <w:rsid w:val="004E150F"/>
    <w:rsid w:val="004E331D"/>
    <w:rsid w:val="004E35D1"/>
    <w:rsid w:val="004F08A4"/>
    <w:rsid w:val="004F0EE9"/>
    <w:rsid w:val="004F24B7"/>
    <w:rsid w:val="004F673E"/>
    <w:rsid w:val="004F68B5"/>
    <w:rsid w:val="00505401"/>
    <w:rsid w:val="00505DE1"/>
    <w:rsid w:val="00506B0D"/>
    <w:rsid w:val="0050716A"/>
    <w:rsid w:val="00507AE8"/>
    <w:rsid w:val="00511851"/>
    <w:rsid w:val="0051246E"/>
    <w:rsid w:val="0051490D"/>
    <w:rsid w:val="00516358"/>
    <w:rsid w:val="00521477"/>
    <w:rsid w:val="00533CC1"/>
    <w:rsid w:val="00533E65"/>
    <w:rsid w:val="005364FD"/>
    <w:rsid w:val="0054032C"/>
    <w:rsid w:val="00545CEE"/>
    <w:rsid w:val="00550055"/>
    <w:rsid w:val="00552D41"/>
    <w:rsid w:val="005533E7"/>
    <w:rsid w:val="00557631"/>
    <w:rsid w:val="005578BC"/>
    <w:rsid w:val="005616AD"/>
    <w:rsid w:val="005616C9"/>
    <w:rsid w:val="00561E9D"/>
    <w:rsid w:val="00567FFD"/>
    <w:rsid w:val="0057177B"/>
    <w:rsid w:val="0057178D"/>
    <w:rsid w:val="0058111C"/>
    <w:rsid w:val="005845EF"/>
    <w:rsid w:val="00584CAD"/>
    <w:rsid w:val="00584E7D"/>
    <w:rsid w:val="0058617A"/>
    <w:rsid w:val="00593D64"/>
    <w:rsid w:val="00596447"/>
    <w:rsid w:val="005968B3"/>
    <w:rsid w:val="00597816"/>
    <w:rsid w:val="005A16D0"/>
    <w:rsid w:val="005A1951"/>
    <w:rsid w:val="005A299B"/>
    <w:rsid w:val="005A3556"/>
    <w:rsid w:val="005A5A73"/>
    <w:rsid w:val="005B0199"/>
    <w:rsid w:val="005B03A9"/>
    <w:rsid w:val="005B2CE4"/>
    <w:rsid w:val="005C1240"/>
    <w:rsid w:val="005C33D3"/>
    <w:rsid w:val="005C43A9"/>
    <w:rsid w:val="005D001F"/>
    <w:rsid w:val="005D1183"/>
    <w:rsid w:val="005D35CD"/>
    <w:rsid w:val="005D7ED3"/>
    <w:rsid w:val="005E2882"/>
    <w:rsid w:val="005E4617"/>
    <w:rsid w:val="005E50AD"/>
    <w:rsid w:val="005E579B"/>
    <w:rsid w:val="005E6340"/>
    <w:rsid w:val="005E659B"/>
    <w:rsid w:val="005E68B6"/>
    <w:rsid w:val="005F0207"/>
    <w:rsid w:val="005F022C"/>
    <w:rsid w:val="005F3E45"/>
    <w:rsid w:val="005F5E8E"/>
    <w:rsid w:val="0060159C"/>
    <w:rsid w:val="006046DD"/>
    <w:rsid w:val="00607DE8"/>
    <w:rsid w:val="006119A5"/>
    <w:rsid w:val="006174A8"/>
    <w:rsid w:val="0061788D"/>
    <w:rsid w:val="00622351"/>
    <w:rsid w:val="006234AE"/>
    <w:rsid w:val="00626EEB"/>
    <w:rsid w:val="006270C3"/>
    <w:rsid w:val="00627493"/>
    <w:rsid w:val="006328C6"/>
    <w:rsid w:val="00632BD6"/>
    <w:rsid w:val="0063669F"/>
    <w:rsid w:val="00636D3E"/>
    <w:rsid w:val="00641570"/>
    <w:rsid w:val="00641D14"/>
    <w:rsid w:val="00641DB3"/>
    <w:rsid w:val="00643D74"/>
    <w:rsid w:val="0065294B"/>
    <w:rsid w:val="00652BED"/>
    <w:rsid w:val="00652BEF"/>
    <w:rsid w:val="00652FF3"/>
    <w:rsid w:val="00653E81"/>
    <w:rsid w:val="0065542E"/>
    <w:rsid w:val="00655BEA"/>
    <w:rsid w:val="00660E99"/>
    <w:rsid w:val="00660FFA"/>
    <w:rsid w:val="00662FE5"/>
    <w:rsid w:val="00663FB0"/>
    <w:rsid w:val="0066736A"/>
    <w:rsid w:val="0066740E"/>
    <w:rsid w:val="00667F41"/>
    <w:rsid w:val="00670700"/>
    <w:rsid w:val="00670FD1"/>
    <w:rsid w:val="00672643"/>
    <w:rsid w:val="00672BCC"/>
    <w:rsid w:val="00674C2E"/>
    <w:rsid w:val="0067708B"/>
    <w:rsid w:val="00680C45"/>
    <w:rsid w:val="00681204"/>
    <w:rsid w:val="00683361"/>
    <w:rsid w:val="00686E13"/>
    <w:rsid w:val="006873C7"/>
    <w:rsid w:val="00687D0D"/>
    <w:rsid w:val="0069033A"/>
    <w:rsid w:val="00690670"/>
    <w:rsid w:val="00694292"/>
    <w:rsid w:val="006A3B58"/>
    <w:rsid w:val="006A3DD1"/>
    <w:rsid w:val="006A4EDA"/>
    <w:rsid w:val="006A5D05"/>
    <w:rsid w:val="006A6823"/>
    <w:rsid w:val="006A7B3D"/>
    <w:rsid w:val="006B099D"/>
    <w:rsid w:val="006B26A6"/>
    <w:rsid w:val="006B30E1"/>
    <w:rsid w:val="006C0099"/>
    <w:rsid w:val="006C0A51"/>
    <w:rsid w:val="006C66B7"/>
    <w:rsid w:val="006D1AF4"/>
    <w:rsid w:val="006D716F"/>
    <w:rsid w:val="006E5CD5"/>
    <w:rsid w:val="006E75AB"/>
    <w:rsid w:val="006F0A14"/>
    <w:rsid w:val="006F0E8E"/>
    <w:rsid w:val="006F2375"/>
    <w:rsid w:val="006F2E42"/>
    <w:rsid w:val="006F3B9C"/>
    <w:rsid w:val="006F5826"/>
    <w:rsid w:val="006F666A"/>
    <w:rsid w:val="00700126"/>
    <w:rsid w:val="0070094D"/>
    <w:rsid w:val="007153F8"/>
    <w:rsid w:val="00715F5C"/>
    <w:rsid w:val="00721F67"/>
    <w:rsid w:val="00721F8E"/>
    <w:rsid w:val="0072282B"/>
    <w:rsid w:val="00722D45"/>
    <w:rsid w:val="0074014A"/>
    <w:rsid w:val="00742655"/>
    <w:rsid w:val="0074517C"/>
    <w:rsid w:val="00745FFC"/>
    <w:rsid w:val="00751290"/>
    <w:rsid w:val="00752FF3"/>
    <w:rsid w:val="00753FB6"/>
    <w:rsid w:val="007556B7"/>
    <w:rsid w:val="00755A11"/>
    <w:rsid w:val="007615D5"/>
    <w:rsid w:val="007619B6"/>
    <w:rsid w:val="00762024"/>
    <w:rsid w:val="00773130"/>
    <w:rsid w:val="00773206"/>
    <w:rsid w:val="0077400C"/>
    <w:rsid w:val="00776B2D"/>
    <w:rsid w:val="00776F54"/>
    <w:rsid w:val="00781FDB"/>
    <w:rsid w:val="0078779E"/>
    <w:rsid w:val="00796D04"/>
    <w:rsid w:val="00797DB5"/>
    <w:rsid w:val="007A16AD"/>
    <w:rsid w:val="007A66F7"/>
    <w:rsid w:val="007A6B66"/>
    <w:rsid w:val="007A724F"/>
    <w:rsid w:val="007A7C83"/>
    <w:rsid w:val="007B0F4E"/>
    <w:rsid w:val="007B202C"/>
    <w:rsid w:val="007B2C5B"/>
    <w:rsid w:val="007B3792"/>
    <w:rsid w:val="007B408D"/>
    <w:rsid w:val="007B4C23"/>
    <w:rsid w:val="007C2C9C"/>
    <w:rsid w:val="007C4249"/>
    <w:rsid w:val="007C46AD"/>
    <w:rsid w:val="007D0CCE"/>
    <w:rsid w:val="007D1F51"/>
    <w:rsid w:val="007D3198"/>
    <w:rsid w:val="007D3EA1"/>
    <w:rsid w:val="007D3FD1"/>
    <w:rsid w:val="007E1CE9"/>
    <w:rsid w:val="007E23C4"/>
    <w:rsid w:val="007E5D63"/>
    <w:rsid w:val="007E7910"/>
    <w:rsid w:val="007F4195"/>
    <w:rsid w:val="00801B11"/>
    <w:rsid w:val="008035FD"/>
    <w:rsid w:val="008051D9"/>
    <w:rsid w:val="008057A5"/>
    <w:rsid w:val="00807984"/>
    <w:rsid w:val="00807F0C"/>
    <w:rsid w:val="00811BCC"/>
    <w:rsid w:val="00812E22"/>
    <w:rsid w:val="008150F3"/>
    <w:rsid w:val="00815E69"/>
    <w:rsid w:val="00816D24"/>
    <w:rsid w:val="008238D3"/>
    <w:rsid w:val="008316C9"/>
    <w:rsid w:val="008336C6"/>
    <w:rsid w:val="00836D12"/>
    <w:rsid w:val="00840BE3"/>
    <w:rsid w:val="00843537"/>
    <w:rsid w:val="00844AE1"/>
    <w:rsid w:val="0084567A"/>
    <w:rsid w:val="00845DCC"/>
    <w:rsid w:val="00846256"/>
    <w:rsid w:val="00846607"/>
    <w:rsid w:val="00846A61"/>
    <w:rsid w:val="00850DD9"/>
    <w:rsid w:val="00856675"/>
    <w:rsid w:val="00857156"/>
    <w:rsid w:val="0086182D"/>
    <w:rsid w:val="00861F2E"/>
    <w:rsid w:val="008637DE"/>
    <w:rsid w:val="00865723"/>
    <w:rsid w:val="00865DEA"/>
    <w:rsid w:val="00866BC8"/>
    <w:rsid w:val="00872D6C"/>
    <w:rsid w:val="0087497C"/>
    <w:rsid w:val="008753DB"/>
    <w:rsid w:val="0087707A"/>
    <w:rsid w:val="0088764F"/>
    <w:rsid w:val="00890DB8"/>
    <w:rsid w:val="00894C64"/>
    <w:rsid w:val="0089551F"/>
    <w:rsid w:val="00897BE8"/>
    <w:rsid w:val="008A40E4"/>
    <w:rsid w:val="008A4816"/>
    <w:rsid w:val="008B03B5"/>
    <w:rsid w:val="008B169F"/>
    <w:rsid w:val="008B173D"/>
    <w:rsid w:val="008B48AF"/>
    <w:rsid w:val="008B4F6A"/>
    <w:rsid w:val="008B6E61"/>
    <w:rsid w:val="008C04BC"/>
    <w:rsid w:val="008C1537"/>
    <w:rsid w:val="008C33A4"/>
    <w:rsid w:val="008C6A53"/>
    <w:rsid w:val="008C7B0A"/>
    <w:rsid w:val="008D06FE"/>
    <w:rsid w:val="008D1DA1"/>
    <w:rsid w:val="008D655B"/>
    <w:rsid w:val="008D68D6"/>
    <w:rsid w:val="008E201C"/>
    <w:rsid w:val="008E2D8B"/>
    <w:rsid w:val="008E3464"/>
    <w:rsid w:val="008E3E10"/>
    <w:rsid w:val="008E6731"/>
    <w:rsid w:val="008E7F92"/>
    <w:rsid w:val="008F2D14"/>
    <w:rsid w:val="008F3757"/>
    <w:rsid w:val="008F4E26"/>
    <w:rsid w:val="008F5DA5"/>
    <w:rsid w:val="008F6037"/>
    <w:rsid w:val="008F6D44"/>
    <w:rsid w:val="00900ACB"/>
    <w:rsid w:val="0090202C"/>
    <w:rsid w:val="00903B14"/>
    <w:rsid w:val="00904628"/>
    <w:rsid w:val="009052E8"/>
    <w:rsid w:val="0091098C"/>
    <w:rsid w:val="00910B55"/>
    <w:rsid w:val="00913009"/>
    <w:rsid w:val="00913D3D"/>
    <w:rsid w:val="0091570B"/>
    <w:rsid w:val="009158C1"/>
    <w:rsid w:val="0091700B"/>
    <w:rsid w:val="0091709F"/>
    <w:rsid w:val="00920F26"/>
    <w:rsid w:val="0092243A"/>
    <w:rsid w:val="00922DFF"/>
    <w:rsid w:val="009231E6"/>
    <w:rsid w:val="00924079"/>
    <w:rsid w:val="00930925"/>
    <w:rsid w:val="00933984"/>
    <w:rsid w:val="00934DB4"/>
    <w:rsid w:val="00943E8A"/>
    <w:rsid w:val="00947871"/>
    <w:rsid w:val="00953583"/>
    <w:rsid w:val="00954837"/>
    <w:rsid w:val="00955F3D"/>
    <w:rsid w:val="00957658"/>
    <w:rsid w:val="009621A7"/>
    <w:rsid w:val="00962DCF"/>
    <w:rsid w:val="00963D50"/>
    <w:rsid w:val="00964163"/>
    <w:rsid w:val="0096547D"/>
    <w:rsid w:val="00970515"/>
    <w:rsid w:val="00975EA7"/>
    <w:rsid w:val="00982F05"/>
    <w:rsid w:val="00983382"/>
    <w:rsid w:val="00983817"/>
    <w:rsid w:val="00984EA5"/>
    <w:rsid w:val="00987CFA"/>
    <w:rsid w:val="0099160E"/>
    <w:rsid w:val="0099766E"/>
    <w:rsid w:val="009A5003"/>
    <w:rsid w:val="009A513D"/>
    <w:rsid w:val="009B23B8"/>
    <w:rsid w:val="009B38E7"/>
    <w:rsid w:val="009B5379"/>
    <w:rsid w:val="009B5884"/>
    <w:rsid w:val="009C1F29"/>
    <w:rsid w:val="009C49CB"/>
    <w:rsid w:val="009D2066"/>
    <w:rsid w:val="009D4CBF"/>
    <w:rsid w:val="009E4DA4"/>
    <w:rsid w:val="009E5685"/>
    <w:rsid w:val="009E70F1"/>
    <w:rsid w:val="009E764A"/>
    <w:rsid w:val="009F17A7"/>
    <w:rsid w:val="009F314C"/>
    <w:rsid w:val="009F3D84"/>
    <w:rsid w:val="009F666E"/>
    <w:rsid w:val="009F6FFB"/>
    <w:rsid w:val="00A00809"/>
    <w:rsid w:val="00A0449D"/>
    <w:rsid w:val="00A056CB"/>
    <w:rsid w:val="00A064DD"/>
    <w:rsid w:val="00A0771F"/>
    <w:rsid w:val="00A15786"/>
    <w:rsid w:val="00A15D1D"/>
    <w:rsid w:val="00A17730"/>
    <w:rsid w:val="00A20A80"/>
    <w:rsid w:val="00A22916"/>
    <w:rsid w:val="00A2454C"/>
    <w:rsid w:val="00A26B26"/>
    <w:rsid w:val="00A27C2E"/>
    <w:rsid w:val="00A31925"/>
    <w:rsid w:val="00A3209A"/>
    <w:rsid w:val="00A47B56"/>
    <w:rsid w:val="00A47D12"/>
    <w:rsid w:val="00A47E9E"/>
    <w:rsid w:val="00A502B6"/>
    <w:rsid w:val="00A51C02"/>
    <w:rsid w:val="00A52162"/>
    <w:rsid w:val="00A57ABE"/>
    <w:rsid w:val="00A635DA"/>
    <w:rsid w:val="00A66110"/>
    <w:rsid w:val="00A661EA"/>
    <w:rsid w:val="00A70AD1"/>
    <w:rsid w:val="00A72227"/>
    <w:rsid w:val="00A749F3"/>
    <w:rsid w:val="00A74FEA"/>
    <w:rsid w:val="00A77575"/>
    <w:rsid w:val="00A804ED"/>
    <w:rsid w:val="00A8074D"/>
    <w:rsid w:val="00A82393"/>
    <w:rsid w:val="00A82BE4"/>
    <w:rsid w:val="00A82D8B"/>
    <w:rsid w:val="00A911A8"/>
    <w:rsid w:val="00A91B2D"/>
    <w:rsid w:val="00A9401F"/>
    <w:rsid w:val="00A94DF6"/>
    <w:rsid w:val="00AA0C38"/>
    <w:rsid w:val="00AA2436"/>
    <w:rsid w:val="00AA2AB5"/>
    <w:rsid w:val="00AA5FC8"/>
    <w:rsid w:val="00AB18C4"/>
    <w:rsid w:val="00AB3C8F"/>
    <w:rsid w:val="00AB4BDE"/>
    <w:rsid w:val="00AB7BC2"/>
    <w:rsid w:val="00AC08D6"/>
    <w:rsid w:val="00AC0D04"/>
    <w:rsid w:val="00AC2F98"/>
    <w:rsid w:val="00AC425B"/>
    <w:rsid w:val="00AC4385"/>
    <w:rsid w:val="00AC4A83"/>
    <w:rsid w:val="00AC7C2C"/>
    <w:rsid w:val="00AC7F9A"/>
    <w:rsid w:val="00AD248D"/>
    <w:rsid w:val="00AD5AFC"/>
    <w:rsid w:val="00AE1087"/>
    <w:rsid w:val="00AE5CEE"/>
    <w:rsid w:val="00AE759D"/>
    <w:rsid w:val="00AE7CBE"/>
    <w:rsid w:val="00AF0C0E"/>
    <w:rsid w:val="00AF1329"/>
    <w:rsid w:val="00AF45D7"/>
    <w:rsid w:val="00AF6AF1"/>
    <w:rsid w:val="00AF742A"/>
    <w:rsid w:val="00B069BB"/>
    <w:rsid w:val="00B07D75"/>
    <w:rsid w:val="00B07F40"/>
    <w:rsid w:val="00B10CB9"/>
    <w:rsid w:val="00B14FC6"/>
    <w:rsid w:val="00B1515A"/>
    <w:rsid w:val="00B15BDB"/>
    <w:rsid w:val="00B208A3"/>
    <w:rsid w:val="00B219F4"/>
    <w:rsid w:val="00B22B01"/>
    <w:rsid w:val="00B25289"/>
    <w:rsid w:val="00B26B41"/>
    <w:rsid w:val="00B32C00"/>
    <w:rsid w:val="00B3341B"/>
    <w:rsid w:val="00B336F4"/>
    <w:rsid w:val="00B37753"/>
    <w:rsid w:val="00B436EB"/>
    <w:rsid w:val="00B44ED8"/>
    <w:rsid w:val="00B46298"/>
    <w:rsid w:val="00B462DB"/>
    <w:rsid w:val="00B5082D"/>
    <w:rsid w:val="00B515D9"/>
    <w:rsid w:val="00B53C7F"/>
    <w:rsid w:val="00B5534A"/>
    <w:rsid w:val="00B557A9"/>
    <w:rsid w:val="00B57BDD"/>
    <w:rsid w:val="00B60288"/>
    <w:rsid w:val="00B64475"/>
    <w:rsid w:val="00B64DBB"/>
    <w:rsid w:val="00B6745A"/>
    <w:rsid w:val="00B702F9"/>
    <w:rsid w:val="00B82568"/>
    <w:rsid w:val="00B82ADA"/>
    <w:rsid w:val="00B84234"/>
    <w:rsid w:val="00B85427"/>
    <w:rsid w:val="00B855EE"/>
    <w:rsid w:val="00B934E8"/>
    <w:rsid w:val="00B94B6E"/>
    <w:rsid w:val="00B953EC"/>
    <w:rsid w:val="00B96CB8"/>
    <w:rsid w:val="00B97778"/>
    <w:rsid w:val="00BA05B3"/>
    <w:rsid w:val="00BA07E6"/>
    <w:rsid w:val="00BA09E5"/>
    <w:rsid w:val="00BA28AC"/>
    <w:rsid w:val="00BA299E"/>
    <w:rsid w:val="00BA5970"/>
    <w:rsid w:val="00BA5A0E"/>
    <w:rsid w:val="00BA5C7F"/>
    <w:rsid w:val="00BA6BFC"/>
    <w:rsid w:val="00BB520F"/>
    <w:rsid w:val="00BB7EF7"/>
    <w:rsid w:val="00BC0A33"/>
    <w:rsid w:val="00BC7080"/>
    <w:rsid w:val="00BD5ED2"/>
    <w:rsid w:val="00BE0165"/>
    <w:rsid w:val="00BE0B9D"/>
    <w:rsid w:val="00BE10B6"/>
    <w:rsid w:val="00BE2060"/>
    <w:rsid w:val="00BE441B"/>
    <w:rsid w:val="00BE47F6"/>
    <w:rsid w:val="00BE66E1"/>
    <w:rsid w:val="00BE772C"/>
    <w:rsid w:val="00BF09C9"/>
    <w:rsid w:val="00BF0F9B"/>
    <w:rsid w:val="00BF13D1"/>
    <w:rsid w:val="00C0033D"/>
    <w:rsid w:val="00C00515"/>
    <w:rsid w:val="00C02686"/>
    <w:rsid w:val="00C030FE"/>
    <w:rsid w:val="00C05C8D"/>
    <w:rsid w:val="00C05DA8"/>
    <w:rsid w:val="00C1789F"/>
    <w:rsid w:val="00C17CEB"/>
    <w:rsid w:val="00C3125E"/>
    <w:rsid w:val="00C31DB8"/>
    <w:rsid w:val="00C325D8"/>
    <w:rsid w:val="00C35B26"/>
    <w:rsid w:val="00C377D6"/>
    <w:rsid w:val="00C37C03"/>
    <w:rsid w:val="00C416EB"/>
    <w:rsid w:val="00C439BD"/>
    <w:rsid w:val="00C47191"/>
    <w:rsid w:val="00C549F9"/>
    <w:rsid w:val="00C556E4"/>
    <w:rsid w:val="00C55776"/>
    <w:rsid w:val="00C571FE"/>
    <w:rsid w:val="00C57E96"/>
    <w:rsid w:val="00C61E97"/>
    <w:rsid w:val="00C64FEC"/>
    <w:rsid w:val="00C66966"/>
    <w:rsid w:val="00C720AB"/>
    <w:rsid w:val="00C8080E"/>
    <w:rsid w:val="00C808F8"/>
    <w:rsid w:val="00C80963"/>
    <w:rsid w:val="00C80F68"/>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2C92"/>
    <w:rsid w:val="00CB2E0A"/>
    <w:rsid w:val="00CB34AC"/>
    <w:rsid w:val="00CB3606"/>
    <w:rsid w:val="00CB36E2"/>
    <w:rsid w:val="00CB3E3C"/>
    <w:rsid w:val="00CB44B7"/>
    <w:rsid w:val="00CB551B"/>
    <w:rsid w:val="00CB64B3"/>
    <w:rsid w:val="00CC1C92"/>
    <w:rsid w:val="00CC2BFE"/>
    <w:rsid w:val="00CC43EB"/>
    <w:rsid w:val="00CC4466"/>
    <w:rsid w:val="00CC4B23"/>
    <w:rsid w:val="00CC4C27"/>
    <w:rsid w:val="00CD05F6"/>
    <w:rsid w:val="00CD3790"/>
    <w:rsid w:val="00CD442C"/>
    <w:rsid w:val="00CD45C5"/>
    <w:rsid w:val="00CD52FD"/>
    <w:rsid w:val="00CD6068"/>
    <w:rsid w:val="00CD63D5"/>
    <w:rsid w:val="00CD7025"/>
    <w:rsid w:val="00CE050C"/>
    <w:rsid w:val="00CE0F03"/>
    <w:rsid w:val="00CE1B5C"/>
    <w:rsid w:val="00CE2963"/>
    <w:rsid w:val="00CE478D"/>
    <w:rsid w:val="00CE6FC5"/>
    <w:rsid w:val="00CF02BA"/>
    <w:rsid w:val="00D00832"/>
    <w:rsid w:val="00D02745"/>
    <w:rsid w:val="00D03A65"/>
    <w:rsid w:val="00D05E65"/>
    <w:rsid w:val="00D06244"/>
    <w:rsid w:val="00D12E6C"/>
    <w:rsid w:val="00D17E7F"/>
    <w:rsid w:val="00D20903"/>
    <w:rsid w:val="00D223CF"/>
    <w:rsid w:val="00D223D3"/>
    <w:rsid w:val="00D22B61"/>
    <w:rsid w:val="00D22F2C"/>
    <w:rsid w:val="00D23499"/>
    <w:rsid w:val="00D23B0B"/>
    <w:rsid w:val="00D248DE"/>
    <w:rsid w:val="00D26A11"/>
    <w:rsid w:val="00D30792"/>
    <w:rsid w:val="00D32127"/>
    <w:rsid w:val="00D32EBE"/>
    <w:rsid w:val="00D37483"/>
    <w:rsid w:val="00D40CA9"/>
    <w:rsid w:val="00D42F4D"/>
    <w:rsid w:val="00D439E7"/>
    <w:rsid w:val="00D523E1"/>
    <w:rsid w:val="00D53B44"/>
    <w:rsid w:val="00D5495A"/>
    <w:rsid w:val="00D54A9C"/>
    <w:rsid w:val="00D550D5"/>
    <w:rsid w:val="00D55107"/>
    <w:rsid w:val="00D5765B"/>
    <w:rsid w:val="00D60D7C"/>
    <w:rsid w:val="00D63EB1"/>
    <w:rsid w:val="00D71206"/>
    <w:rsid w:val="00D72D6C"/>
    <w:rsid w:val="00D74056"/>
    <w:rsid w:val="00D7472B"/>
    <w:rsid w:val="00D74EBB"/>
    <w:rsid w:val="00D74EF5"/>
    <w:rsid w:val="00D81098"/>
    <w:rsid w:val="00D8347E"/>
    <w:rsid w:val="00D84528"/>
    <w:rsid w:val="00D84B79"/>
    <w:rsid w:val="00D8733D"/>
    <w:rsid w:val="00D90A26"/>
    <w:rsid w:val="00D95910"/>
    <w:rsid w:val="00D978A4"/>
    <w:rsid w:val="00DA4170"/>
    <w:rsid w:val="00DB374E"/>
    <w:rsid w:val="00DB3E82"/>
    <w:rsid w:val="00DB4EAF"/>
    <w:rsid w:val="00DB5C26"/>
    <w:rsid w:val="00DB660E"/>
    <w:rsid w:val="00DC01EF"/>
    <w:rsid w:val="00DC11B0"/>
    <w:rsid w:val="00DC197E"/>
    <w:rsid w:val="00DC3958"/>
    <w:rsid w:val="00DC5162"/>
    <w:rsid w:val="00DC67E6"/>
    <w:rsid w:val="00DD4EB3"/>
    <w:rsid w:val="00DD71F0"/>
    <w:rsid w:val="00DE0214"/>
    <w:rsid w:val="00DE7EA5"/>
    <w:rsid w:val="00DF159C"/>
    <w:rsid w:val="00DF2655"/>
    <w:rsid w:val="00DF286B"/>
    <w:rsid w:val="00DF3632"/>
    <w:rsid w:val="00DF3BFD"/>
    <w:rsid w:val="00DF3C86"/>
    <w:rsid w:val="00DF43B0"/>
    <w:rsid w:val="00DF662A"/>
    <w:rsid w:val="00DF66C1"/>
    <w:rsid w:val="00E0059D"/>
    <w:rsid w:val="00E03156"/>
    <w:rsid w:val="00E044A2"/>
    <w:rsid w:val="00E06FBB"/>
    <w:rsid w:val="00E1206D"/>
    <w:rsid w:val="00E120E9"/>
    <w:rsid w:val="00E13645"/>
    <w:rsid w:val="00E14B07"/>
    <w:rsid w:val="00E208A5"/>
    <w:rsid w:val="00E20E7A"/>
    <w:rsid w:val="00E20E89"/>
    <w:rsid w:val="00E26C42"/>
    <w:rsid w:val="00E27D8A"/>
    <w:rsid w:val="00E35D3D"/>
    <w:rsid w:val="00E40D9C"/>
    <w:rsid w:val="00E42CF2"/>
    <w:rsid w:val="00E503A6"/>
    <w:rsid w:val="00E50433"/>
    <w:rsid w:val="00E52026"/>
    <w:rsid w:val="00E5555E"/>
    <w:rsid w:val="00E576B6"/>
    <w:rsid w:val="00E57F81"/>
    <w:rsid w:val="00E60C50"/>
    <w:rsid w:val="00E61074"/>
    <w:rsid w:val="00E661C4"/>
    <w:rsid w:val="00E66BAC"/>
    <w:rsid w:val="00E678DD"/>
    <w:rsid w:val="00E700E6"/>
    <w:rsid w:val="00E711B8"/>
    <w:rsid w:val="00E76F6B"/>
    <w:rsid w:val="00E77486"/>
    <w:rsid w:val="00E80ADB"/>
    <w:rsid w:val="00E810A9"/>
    <w:rsid w:val="00E825AE"/>
    <w:rsid w:val="00E84D73"/>
    <w:rsid w:val="00E86B90"/>
    <w:rsid w:val="00E90354"/>
    <w:rsid w:val="00E9066D"/>
    <w:rsid w:val="00E932D3"/>
    <w:rsid w:val="00EA16AC"/>
    <w:rsid w:val="00EA2446"/>
    <w:rsid w:val="00EA482E"/>
    <w:rsid w:val="00EA6378"/>
    <w:rsid w:val="00EA770C"/>
    <w:rsid w:val="00EB166D"/>
    <w:rsid w:val="00EB4775"/>
    <w:rsid w:val="00EB53F9"/>
    <w:rsid w:val="00EB5F3E"/>
    <w:rsid w:val="00ED189B"/>
    <w:rsid w:val="00ED4588"/>
    <w:rsid w:val="00ED4841"/>
    <w:rsid w:val="00ED64C2"/>
    <w:rsid w:val="00EE1998"/>
    <w:rsid w:val="00EE2967"/>
    <w:rsid w:val="00EE5513"/>
    <w:rsid w:val="00EE5F1B"/>
    <w:rsid w:val="00EE618C"/>
    <w:rsid w:val="00EE7AB9"/>
    <w:rsid w:val="00EF21F4"/>
    <w:rsid w:val="00EF2DCE"/>
    <w:rsid w:val="00EF436D"/>
    <w:rsid w:val="00EF4ABA"/>
    <w:rsid w:val="00EF5EA1"/>
    <w:rsid w:val="00F055C2"/>
    <w:rsid w:val="00F11F29"/>
    <w:rsid w:val="00F12F88"/>
    <w:rsid w:val="00F12FB3"/>
    <w:rsid w:val="00F23613"/>
    <w:rsid w:val="00F23F4D"/>
    <w:rsid w:val="00F25F0A"/>
    <w:rsid w:val="00F32315"/>
    <w:rsid w:val="00F35073"/>
    <w:rsid w:val="00F41DC3"/>
    <w:rsid w:val="00F420A8"/>
    <w:rsid w:val="00F42668"/>
    <w:rsid w:val="00F478EC"/>
    <w:rsid w:val="00F53620"/>
    <w:rsid w:val="00F542F5"/>
    <w:rsid w:val="00F54A5E"/>
    <w:rsid w:val="00F55D28"/>
    <w:rsid w:val="00F56404"/>
    <w:rsid w:val="00F64307"/>
    <w:rsid w:val="00F643AE"/>
    <w:rsid w:val="00F6464B"/>
    <w:rsid w:val="00F65B24"/>
    <w:rsid w:val="00F73827"/>
    <w:rsid w:val="00F7492C"/>
    <w:rsid w:val="00F74E58"/>
    <w:rsid w:val="00F76356"/>
    <w:rsid w:val="00F7664B"/>
    <w:rsid w:val="00F76B6D"/>
    <w:rsid w:val="00F772E0"/>
    <w:rsid w:val="00F810C4"/>
    <w:rsid w:val="00F81BC7"/>
    <w:rsid w:val="00F8276D"/>
    <w:rsid w:val="00F84874"/>
    <w:rsid w:val="00F84B85"/>
    <w:rsid w:val="00F900D5"/>
    <w:rsid w:val="00F9073B"/>
    <w:rsid w:val="00F9099C"/>
    <w:rsid w:val="00F93AE9"/>
    <w:rsid w:val="00F9787F"/>
    <w:rsid w:val="00FA4C5F"/>
    <w:rsid w:val="00FA5CB6"/>
    <w:rsid w:val="00FA6554"/>
    <w:rsid w:val="00FB36B2"/>
    <w:rsid w:val="00FB381D"/>
    <w:rsid w:val="00FB3B89"/>
    <w:rsid w:val="00FB3BCA"/>
    <w:rsid w:val="00FB3BE0"/>
    <w:rsid w:val="00FB4998"/>
    <w:rsid w:val="00FB5248"/>
    <w:rsid w:val="00FB661B"/>
    <w:rsid w:val="00FB6A2D"/>
    <w:rsid w:val="00FC064C"/>
    <w:rsid w:val="00FC49B9"/>
    <w:rsid w:val="00FC5430"/>
    <w:rsid w:val="00FD029D"/>
    <w:rsid w:val="00FD09F9"/>
    <w:rsid w:val="00FD59D1"/>
    <w:rsid w:val="00FD73A0"/>
    <w:rsid w:val="00FD769B"/>
    <w:rsid w:val="00FE169F"/>
    <w:rsid w:val="00FF042B"/>
    <w:rsid w:val="00FF0F12"/>
    <w:rsid w:val="00FF2CCF"/>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semiHidden/>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19745&amp;actionCode=50719&amp;enterCode=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0C9CF-526B-4DF4-83EF-F460269B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1082</Words>
  <Characters>5952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Admin</cp:lastModifiedBy>
  <cp:revision>3</cp:revision>
  <dcterms:created xsi:type="dcterms:W3CDTF">2019-05-24T21:34:00Z</dcterms:created>
  <dcterms:modified xsi:type="dcterms:W3CDTF">2019-05-24T21:43:00Z</dcterms:modified>
</cp:coreProperties>
</file>